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C37595">
        <w:rPr>
          <w:rFonts w:ascii="Arial" w:eastAsia="宋体" w:hAnsi="Arial" w:cs="Arial"/>
          <w:b/>
          <w:sz w:val="24"/>
          <w:lang w:val="en-GB" w:eastAsia="ko-KR"/>
        </w:rPr>
        <w:t>6</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C37595">
        <w:rPr>
          <w:rFonts w:ascii="Arial" w:eastAsia="宋体" w:hAnsi="Arial" w:cs="Arial"/>
          <w:b/>
          <w:sz w:val="24"/>
          <w:lang w:val="en-GB" w:eastAsia="ko-KR"/>
        </w:rPr>
        <w:t>30</w:t>
      </w:r>
      <w:r w:rsidR="00927EDF">
        <w:rPr>
          <w:rFonts w:ascii="Arial" w:eastAsia="宋体" w:hAnsi="Arial" w:cs="Arial"/>
          <w:b/>
          <w:sz w:val="24"/>
          <w:lang w:val="en-GB" w:eastAsia="ko-KR"/>
        </w:rPr>
        <w:t>0888</w:t>
      </w:r>
    </w:p>
    <w:p w:rsidR="00A44F96" w:rsidRPr="00B40311" w:rsidRDefault="0044195C"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F855B9">
        <w:rPr>
          <w:rFonts w:ascii="Arial" w:eastAsia="宋体" w:hAnsi="Arial" w:cs="Arial"/>
          <w:b/>
          <w:sz w:val="24"/>
          <w:lang w:val="en-GB" w:eastAsia="ko-KR"/>
        </w:rPr>
        <w:t>P</w:t>
      </w:r>
      <w:r w:rsidR="00F855B9" w:rsidRPr="00C032FD">
        <w:rPr>
          <w:rFonts w:ascii="Arial" w:eastAsia="宋体" w:hAnsi="Arial" w:cs="Arial"/>
          <w:b/>
          <w:sz w:val="24"/>
          <w:lang w:val="en-GB" w:eastAsia="ko-KR"/>
        </w:rPr>
        <w:t>re-MG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37595">
        <w:rPr>
          <w:rFonts w:ascii="Arial" w:eastAsia="宋体" w:hAnsi="Arial" w:cs="Arial"/>
          <w:b/>
          <w:sz w:val="24"/>
          <w:lang w:val="en-GB"/>
        </w:rPr>
        <w:t>9</w:t>
      </w:r>
      <w:r w:rsidR="003A4170" w:rsidRPr="00717E1B">
        <w:rPr>
          <w:rFonts w:ascii="Arial" w:eastAsia="宋体" w:hAnsi="Arial" w:cs="Arial"/>
          <w:b/>
          <w:sz w:val="24"/>
          <w:lang w:val="en-GB"/>
        </w:rPr>
        <w:t>.1</w:t>
      </w:r>
      <w:r w:rsidR="00C032FD" w:rsidRPr="00717E1B">
        <w:rPr>
          <w:rFonts w:ascii="Arial" w:eastAsia="宋体" w:hAnsi="Arial" w:cs="Arial"/>
          <w:b/>
          <w:sz w:val="24"/>
          <w:lang w:val="en-GB"/>
        </w:rPr>
        <w:t>0</w:t>
      </w:r>
      <w:r w:rsidRPr="00717E1B">
        <w:rPr>
          <w:rFonts w:ascii="Arial" w:eastAsia="宋体" w:hAnsi="Arial" w:cs="Arial" w:hint="eastAsia"/>
          <w:b/>
          <w:sz w:val="24"/>
          <w:lang w:val="en-GB"/>
        </w:rPr>
        <w:t>.</w:t>
      </w:r>
      <w:r w:rsidRPr="00717E1B">
        <w:rPr>
          <w:rFonts w:ascii="Arial" w:eastAsia="宋体" w:hAnsi="Arial" w:cs="Arial"/>
          <w:b/>
          <w:sz w:val="24"/>
          <w:lang w:val="en-GB"/>
        </w:rPr>
        <w:t>2</w:t>
      </w:r>
      <w:r w:rsidR="00652D79">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w:t>
      </w:r>
      <w:r w:rsidR="00555C21">
        <w:rPr>
          <w:rFonts w:ascii="Times New Roman" w:hAnsi="Times New Roman" w:cs="Times New Roman"/>
          <w:sz w:val="20"/>
          <w:szCs w:val="20"/>
        </w:rPr>
        <w:t>5</w:t>
      </w:r>
      <w:r>
        <w:rPr>
          <w:rFonts w:ascii="Times New Roman" w:hAnsi="Times New Roman" w:cs="Times New Roman"/>
          <w:sz w:val="20"/>
          <w:szCs w:val="20"/>
        </w:rPr>
        <w:t xml:space="preserve"> meeting, </w:t>
      </w:r>
      <w:r w:rsidR="00C77557">
        <w:rPr>
          <w:rFonts w:ascii="Times New Roman" w:hAnsi="Times New Roman" w:cs="Times New Roman"/>
          <w:sz w:val="20"/>
          <w:szCs w:val="20"/>
        </w:rPr>
        <w:t>RAN</w:t>
      </w:r>
      <w:r w:rsidR="00DD320A">
        <w:rPr>
          <w:rFonts w:ascii="Times New Roman" w:hAnsi="Times New Roman" w:cs="Times New Roman"/>
          <w:sz w:val="20"/>
          <w:szCs w:val="20"/>
        </w:rPr>
        <w:t>4 had some discussion</w:t>
      </w:r>
      <w:r w:rsidR="00D652BD">
        <w:rPr>
          <w:rFonts w:ascii="Times New Roman" w:hAnsi="Times New Roman" w:cs="Times New Roman"/>
          <w:sz w:val="20"/>
          <w:szCs w:val="20"/>
        </w:rPr>
        <w:t xml:space="preserve"> on RRM requirements for UEs configured with a combinati</w:t>
      </w:r>
      <w:r w:rsidR="00942EEE">
        <w:rPr>
          <w:rFonts w:ascii="Times New Roman" w:hAnsi="Times New Roman" w:cs="Times New Roman"/>
          <w:sz w:val="20"/>
          <w:szCs w:val="20"/>
        </w:rPr>
        <w:t>on of pre-configured MGs</w:t>
      </w:r>
      <w:r w:rsidR="00D05181">
        <w:rPr>
          <w:rFonts w:ascii="Times New Roman" w:hAnsi="Times New Roman" w:cs="Times New Roman"/>
          <w:sz w:val="20"/>
          <w:szCs w:val="20"/>
        </w:rPr>
        <w:t xml:space="preserve"> and</w:t>
      </w:r>
      <w:r w:rsidR="00D652BD">
        <w:rPr>
          <w:rFonts w:ascii="Times New Roman" w:hAnsi="Times New Roman" w:cs="Times New Roman"/>
          <w:sz w:val="20"/>
          <w:szCs w:val="20"/>
        </w:rPr>
        <w:t xml:space="preserve"> </w:t>
      </w:r>
      <w:r w:rsidR="00D05181">
        <w:rPr>
          <w:rFonts w:ascii="Times New Roman" w:hAnsi="Times New Roman" w:cs="Times New Roman"/>
          <w:sz w:val="20"/>
          <w:szCs w:val="20"/>
        </w:rPr>
        <w:t>concurrent MG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p w:rsidR="00DD320A" w:rsidRPr="00DD320A" w:rsidRDefault="00DD320A" w:rsidP="000D352F">
      <w:pPr>
        <w:spacing w:after="180"/>
        <w:rPr>
          <w:rFonts w:ascii="Times New Roman" w:hAnsi="Times New Roman" w:cs="Times New Roman"/>
          <w:b/>
          <w:sz w:val="20"/>
          <w:szCs w:val="20"/>
          <w:u w:val="single"/>
        </w:rPr>
      </w:pPr>
      <w:r w:rsidRPr="00DD320A">
        <w:rPr>
          <w:rFonts w:ascii="Times New Roman" w:hAnsi="Times New Roman" w:cs="Times New Roman" w:hint="eastAsia"/>
          <w:b/>
          <w:sz w:val="20"/>
          <w:szCs w:val="20"/>
          <w:u w:val="single"/>
        </w:rPr>
        <w:t>S</w:t>
      </w:r>
      <w:r w:rsidRPr="00DD320A">
        <w:rPr>
          <w:rFonts w:ascii="Times New Roman" w:hAnsi="Times New Roman" w:cs="Times New Roman"/>
          <w:b/>
          <w:sz w:val="20"/>
          <w:szCs w:val="20"/>
          <w:u w:val="single"/>
        </w:rPr>
        <w:t>cenarios</w:t>
      </w:r>
      <w:r w:rsidR="000D352F">
        <w:rPr>
          <w:rFonts w:ascii="Times New Roman" w:hAnsi="Times New Roman" w:cs="Times New Roman"/>
          <w:b/>
          <w:sz w:val="20"/>
          <w:szCs w:val="20"/>
          <w:u w:val="single"/>
        </w:rPr>
        <w:t xml:space="preserve"> and general issues</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DD320A">
        <w:trPr>
          <w:cantSplit/>
          <w:trHeight w:val="599"/>
        </w:trPr>
        <w:tc>
          <w:tcPr>
            <w:tcW w:w="8357" w:type="dxa"/>
          </w:tcPr>
          <w:p w:rsidR="0046466C" w:rsidRPr="0046466C" w:rsidRDefault="0046466C" w:rsidP="0046466C">
            <w:pPr>
              <w:pStyle w:val="2"/>
              <w:widowControl/>
              <w:numPr>
                <w:ilvl w:val="1"/>
                <w:numId w:val="0"/>
              </w:numPr>
              <w:tabs>
                <w:tab w:val="left" w:pos="432"/>
                <w:tab w:val="left" w:pos="576"/>
              </w:tabs>
              <w:spacing w:before="0" w:after="0" w:line="240" w:lineRule="auto"/>
              <w:ind w:left="576" w:hanging="576"/>
              <w:jc w:val="left"/>
              <w:rPr>
                <w:rFonts w:ascii="Times New Roman" w:hAnsi="Times New Roman" w:cs="Times New Roman"/>
                <w:b w:val="0"/>
                <w:bCs w:val="0"/>
                <w:sz w:val="20"/>
                <w:szCs w:val="20"/>
              </w:rPr>
            </w:pPr>
            <w:r w:rsidRPr="0046466C">
              <w:rPr>
                <w:rFonts w:ascii="Times New Roman" w:hAnsi="Times New Roman" w:cs="Times New Roman"/>
                <w:b w:val="0"/>
                <w:bCs w:val="0"/>
                <w:sz w:val="20"/>
                <w:szCs w:val="20"/>
                <w:u w:val="single"/>
              </w:rPr>
              <w:t>Issue 2-1-1: Definitions: legacy, concurrent, baseline and component gaps</w:t>
            </w:r>
          </w:p>
          <w:p w:rsidR="0046466C" w:rsidRPr="0046466C" w:rsidRDefault="0046466C" w:rsidP="0046466C">
            <w:pPr>
              <w:spacing w:afterLines="50" w:after="156"/>
              <w:ind w:leftChars="200" w:left="420"/>
              <w:rPr>
                <w:rFonts w:ascii="Times New Roman" w:hAnsi="Times New Roman" w:cs="Times New Roman"/>
                <w:sz w:val="20"/>
                <w:szCs w:val="20"/>
              </w:rPr>
            </w:pPr>
            <w:r w:rsidRPr="0046466C">
              <w:rPr>
                <w:rFonts w:ascii="Times New Roman" w:hAnsi="Times New Roman" w:cs="Times New Roman"/>
                <w:b/>
                <w:sz w:val="20"/>
                <w:szCs w:val="20"/>
              </w:rPr>
              <w:t>&lt; Wayforward &gt;</w:t>
            </w:r>
            <w:r w:rsidRPr="0046466C">
              <w:rPr>
                <w:rFonts w:ascii="Times New Roman" w:hAnsi="Times New Roman" w:cs="Times New Roman"/>
                <w:sz w:val="20"/>
                <w:szCs w:val="20"/>
              </w:rPr>
              <w:t>:</w:t>
            </w:r>
          </w:p>
          <w:p w:rsidR="0046466C" w:rsidRPr="0046466C" w:rsidRDefault="0046466C" w:rsidP="0046466C">
            <w:pPr>
              <w:widowControl/>
              <w:numPr>
                <w:ilvl w:val="0"/>
                <w:numId w:val="42"/>
              </w:numPr>
              <w:spacing w:afterLines="50" w:after="156"/>
              <w:jc w:val="left"/>
              <w:rPr>
                <w:rFonts w:ascii="Times New Roman" w:hAnsi="Times New Roman" w:cs="Times New Roman"/>
                <w:sz w:val="20"/>
                <w:szCs w:val="20"/>
              </w:rPr>
            </w:pPr>
            <w:r w:rsidRPr="0046466C">
              <w:rPr>
                <w:rFonts w:ascii="Times New Roman" w:hAnsi="Times New Roman" w:cs="Times New Roman"/>
                <w:sz w:val="20"/>
                <w:szCs w:val="20"/>
              </w:rPr>
              <w:t xml:space="preserve">FFS </w:t>
            </w:r>
          </w:p>
          <w:p w:rsidR="0046466C" w:rsidRPr="0046466C" w:rsidRDefault="0046466C" w:rsidP="0046466C">
            <w:pPr>
              <w:pStyle w:val="2"/>
              <w:widowControl/>
              <w:numPr>
                <w:ilvl w:val="1"/>
                <w:numId w:val="0"/>
              </w:numPr>
              <w:tabs>
                <w:tab w:val="left" w:pos="432"/>
                <w:tab w:val="left" w:pos="576"/>
              </w:tabs>
              <w:spacing w:before="0" w:after="0" w:line="240" w:lineRule="auto"/>
              <w:ind w:left="576" w:hanging="576"/>
              <w:jc w:val="left"/>
              <w:rPr>
                <w:rFonts w:ascii="Times New Roman" w:hAnsi="Times New Roman" w:cs="Times New Roman"/>
                <w:b w:val="0"/>
                <w:bCs w:val="0"/>
                <w:sz w:val="20"/>
                <w:szCs w:val="20"/>
              </w:rPr>
            </w:pPr>
            <w:r w:rsidRPr="0046466C">
              <w:rPr>
                <w:rFonts w:ascii="Times New Roman" w:hAnsi="Times New Roman" w:cs="Times New Roman"/>
                <w:b w:val="0"/>
                <w:bCs w:val="0"/>
                <w:sz w:val="20"/>
                <w:szCs w:val="20"/>
                <w:u w:val="single"/>
              </w:rPr>
              <w:t>Issue 2-1-2: Definitions: common understanding</w:t>
            </w:r>
          </w:p>
          <w:p w:rsidR="0046466C" w:rsidRPr="0046466C" w:rsidRDefault="0046466C" w:rsidP="0046466C">
            <w:pPr>
              <w:spacing w:afterLines="50" w:after="156"/>
              <w:ind w:leftChars="200" w:left="420"/>
              <w:rPr>
                <w:rFonts w:ascii="Times New Roman" w:hAnsi="Times New Roman" w:cs="Times New Roman"/>
                <w:sz w:val="20"/>
                <w:szCs w:val="20"/>
              </w:rPr>
            </w:pPr>
            <w:r w:rsidRPr="0046466C">
              <w:rPr>
                <w:rFonts w:ascii="Times New Roman" w:hAnsi="Times New Roman" w:cs="Times New Roman"/>
                <w:b/>
                <w:sz w:val="20"/>
                <w:szCs w:val="20"/>
              </w:rPr>
              <w:t>&lt; Agreement &gt;</w:t>
            </w:r>
            <w:r w:rsidRPr="0046466C">
              <w:rPr>
                <w:rFonts w:ascii="Times New Roman" w:hAnsi="Times New Roman" w:cs="Times New Roman"/>
                <w:sz w:val="20"/>
                <w:szCs w:val="20"/>
              </w:rPr>
              <w:t xml:space="preserve">: </w:t>
            </w:r>
          </w:p>
          <w:p w:rsidR="0046466C" w:rsidRPr="0046466C" w:rsidRDefault="0046466C" w:rsidP="0012493E">
            <w:pPr>
              <w:widowControl/>
              <w:numPr>
                <w:ilvl w:val="0"/>
                <w:numId w:val="42"/>
              </w:numPr>
              <w:spacing w:afterLines="50" w:after="156"/>
              <w:jc w:val="left"/>
              <w:rPr>
                <w:rFonts w:ascii="Times New Roman" w:hAnsi="Times New Roman" w:cs="Times New Roman"/>
                <w:sz w:val="20"/>
                <w:szCs w:val="20"/>
              </w:rPr>
            </w:pPr>
            <w:r w:rsidRPr="0046466C">
              <w:rPr>
                <w:rFonts w:ascii="Times New Roman" w:hAnsi="Times New Roman" w:cs="Times New Roman"/>
                <w:sz w:val="20"/>
                <w:szCs w:val="20"/>
              </w:rPr>
              <w:t>The reason for having these definitions is to align the understanding between companies</w:t>
            </w:r>
          </w:p>
          <w:p w:rsidR="0046466C" w:rsidRPr="0046466C" w:rsidRDefault="0046466C" w:rsidP="0046466C">
            <w:pPr>
              <w:pStyle w:val="2"/>
              <w:widowControl/>
              <w:numPr>
                <w:ilvl w:val="1"/>
                <w:numId w:val="0"/>
              </w:numPr>
              <w:tabs>
                <w:tab w:val="left" w:pos="432"/>
                <w:tab w:val="left" w:pos="576"/>
              </w:tabs>
              <w:spacing w:before="0" w:after="0" w:line="240" w:lineRule="auto"/>
              <w:ind w:left="576" w:hanging="576"/>
              <w:jc w:val="left"/>
              <w:rPr>
                <w:rFonts w:ascii="Times New Roman" w:hAnsi="Times New Roman" w:cs="Times New Roman"/>
                <w:b w:val="0"/>
                <w:bCs w:val="0"/>
                <w:sz w:val="20"/>
                <w:szCs w:val="20"/>
              </w:rPr>
            </w:pPr>
            <w:r w:rsidRPr="0046466C">
              <w:rPr>
                <w:rFonts w:ascii="Times New Roman" w:hAnsi="Times New Roman" w:cs="Times New Roman"/>
                <w:b w:val="0"/>
                <w:bCs w:val="0"/>
                <w:sz w:val="20"/>
                <w:szCs w:val="20"/>
                <w:u w:val="single"/>
              </w:rPr>
              <w:t>Issue 2-1-3: Which Type of MG is considered together with Pre-MG/NCSG in the WI? (When only one Pre-MG/NCSG is considered)</w:t>
            </w:r>
          </w:p>
          <w:p w:rsidR="0046466C" w:rsidRPr="0046466C" w:rsidRDefault="0046466C" w:rsidP="0046466C">
            <w:pPr>
              <w:spacing w:afterLines="50" w:after="156"/>
              <w:ind w:leftChars="200" w:left="420"/>
              <w:rPr>
                <w:rFonts w:ascii="Times New Roman" w:hAnsi="Times New Roman" w:cs="Times New Roman"/>
                <w:sz w:val="20"/>
                <w:szCs w:val="20"/>
              </w:rPr>
            </w:pPr>
            <w:r w:rsidRPr="0046466C">
              <w:rPr>
                <w:rFonts w:ascii="Times New Roman" w:hAnsi="Times New Roman" w:cs="Times New Roman"/>
                <w:b/>
                <w:sz w:val="20"/>
                <w:szCs w:val="20"/>
              </w:rPr>
              <w:t>&lt; Agreement &gt;</w:t>
            </w:r>
            <w:r w:rsidRPr="0046466C">
              <w:rPr>
                <w:rFonts w:ascii="Times New Roman" w:hAnsi="Times New Roman" w:cs="Times New Roman"/>
                <w:sz w:val="20"/>
                <w:szCs w:val="20"/>
              </w:rPr>
              <w:t xml:space="preserve">:  </w:t>
            </w:r>
          </w:p>
          <w:p w:rsidR="000D352F" w:rsidRPr="000D352F" w:rsidRDefault="0046466C" w:rsidP="0046466C">
            <w:pPr>
              <w:widowControl/>
              <w:numPr>
                <w:ilvl w:val="0"/>
                <w:numId w:val="42"/>
              </w:numPr>
              <w:spacing w:afterLines="50" w:after="156"/>
              <w:jc w:val="left"/>
            </w:pPr>
            <w:r w:rsidRPr="0046466C">
              <w:rPr>
                <w:rFonts w:ascii="Times New Roman" w:hAnsi="Times New Roman" w:cs="Times New Roman"/>
                <w:sz w:val="20"/>
                <w:szCs w:val="20"/>
              </w:rPr>
              <w:t>Start with the requirement definition based on Type-2 MG. FFS whether and how to include Type-1 MG.</w:t>
            </w:r>
          </w:p>
        </w:tc>
      </w:tr>
    </w:tbl>
    <w:p w:rsidR="007213C7" w:rsidRDefault="003A4595" w:rsidP="00F03B58">
      <w:pPr>
        <w:rPr>
          <w:rFonts w:ascii="Times New Roman" w:hAnsi="Times New Roman" w:cs="Times New Roman"/>
          <w:sz w:val="20"/>
          <w:szCs w:val="20"/>
        </w:rPr>
      </w:pPr>
      <w:r>
        <w:rPr>
          <w:rFonts w:ascii="Times New Roman" w:hAnsi="Times New Roman" w:cs="Times New Roman"/>
          <w:sz w:val="20"/>
          <w:szCs w:val="20"/>
        </w:rPr>
        <w:t xml:space="preserve">RAN4 </w:t>
      </w:r>
      <w:r w:rsidR="00FA7503">
        <w:rPr>
          <w:rFonts w:ascii="Times New Roman" w:hAnsi="Times New Roman" w:cs="Times New Roman"/>
          <w:sz w:val="20"/>
          <w:szCs w:val="20"/>
        </w:rPr>
        <w:t xml:space="preserve">discussed the terminology among gaps which </w:t>
      </w:r>
      <w:r w:rsidR="0046466C">
        <w:rPr>
          <w:rFonts w:ascii="Times New Roman" w:hAnsi="Times New Roman" w:cs="Times New Roman"/>
          <w:sz w:val="20"/>
          <w:szCs w:val="20"/>
        </w:rPr>
        <w:t>is to align the understanding between companies</w:t>
      </w:r>
      <w:r w:rsidR="00FA7503">
        <w:rPr>
          <w:rFonts w:ascii="Times New Roman" w:hAnsi="Times New Roman" w:cs="Times New Roman"/>
          <w:sz w:val="20"/>
          <w:szCs w:val="20"/>
        </w:rPr>
        <w:t>. And RAN4 agreed Type-1 MG and Type-2 MG</w:t>
      </w:r>
      <w:r w:rsidR="007422A0">
        <w:rPr>
          <w:rFonts w:ascii="Times New Roman" w:hAnsi="Times New Roman" w:cs="Times New Roman"/>
          <w:sz w:val="20"/>
          <w:szCs w:val="20"/>
        </w:rPr>
        <w:t xml:space="preserve"> definition. And we think it is necessary to define one </w:t>
      </w:r>
      <w:r w:rsidR="0046466C">
        <w:rPr>
          <w:rFonts w:ascii="Times New Roman" w:hAnsi="Times New Roman" w:cs="Times New Roman"/>
          <w:sz w:val="20"/>
          <w:szCs w:val="20"/>
        </w:rPr>
        <w:t xml:space="preserve">additional </w:t>
      </w:r>
      <w:r w:rsidR="007422A0">
        <w:rPr>
          <w:rFonts w:ascii="Times New Roman" w:hAnsi="Times New Roman" w:cs="Times New Roman"/>
          <w:sz w:val="20"/>
          <w:szCs w:val="20"/>
        </w:rPr>
        <w:t xml:space="preserve">terminology for the MG in concurrent gaps, since 2 or 3 measurement gaps can be configured as concurrent MG combination. </w:t>
      </w:r>
      <w:r w:rsidR="0012493E">
        <w:rPr>
          <w:rFonts w:ascii="Times New Roman" w:hAnsi="Times New Roman" w:cs="Times New Roman"/>
          <w:sz w:val="20"/>
          <w:szCs w:val="20"/>
        </w:rPr>
        <w:t>T</w:t>
      </w:r>
      <w:r w:rsidR="007422A0">
        <w:rPr>
          <w:rFonts w:ascii="Times New Roman" w:hAnsi="Times New Roman" w:cs="Times New Roman"/>
          <w:sz w:val="20"/>
          <w:szCs w:val="20"/>
        </w:rPr>
        <w:t xml:space="preserve">he terminology of ‘component gap’ can be used as one of </w:t>
      </w:r>
      <w:r w:rsidR="0012493E">
        <w:rPr>
          <w:rFonts w:ascii="Times New Roman" w:hAnsi="Times New Roman" w:cs="Times New Roman"/>
          <w:sz w:val="20"/>
          <w:szCs w:val="20"/>
        </w:rPr>
        <w:t xml:space="preserve">component gap in </w:t>
      </w:r>
      <w:r w:rsidR="007422A0">
        <w:rPr>
          <w:rFonts w:ascii="Times New Roman" w:hAnsi="Times New Roman" w:cs="Times New Roman"/>
          <w:sz w:val="20"/>
          <w:szCs w:val="20"/>
        </w:rPr>
        <w:t>concurrent MG</w:t>
      </w:r>
      <w:r w:rsidR="0012493E">
        <w:rPr>
          <w:rFonts w:ascii="Times New Roman" w:hAnsi="Times New Roman" w:cs="Times New Roman"/>
          <w:sz w:val="20"/>
          <w:szCs w:val="20"/>
        </w:rPr>
        <w:t>s</w:t>
      </w:r>
      <w:r w:rsidR="007422A0">
        <w:rPr>
          <w:rFonts w:ascii="Times New Roman" w:hAnsi="Times New Roman" w:cs="Times New Roman"/>
          <w:sz w:val="20"/>
          <w:szCs w:val="20"/>
        </w:rPr>
        <w:t>, and the component gap can be Type-1 MG, Type-2 MG, Pre-MG or NCSG.</w:t>
      </w:r>
      <w:r w:rsidR="00D4585C">
        <w:rPr>
          <w:rFonts w:ascii="Times New Roman" w:hAnsi="Times New Roman" w:cs="Times New Roman"/>
          <w:sz w:val="20"/>
          <w:szCs w:val="20"/>
        </w:rPr>
        <w:t xml:space="preserve"> </w:t>
      </w:r>
    </w:p>
    <w:p w:rsidR="00D554C9" w:rsidRPr="00B37C0A" w:rsidRDefault="00E60F11" w:rsidP="00B37C0A">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7422A0">
        <w:rPr>
          <w:rFonts w:ascii="Times New Roman" w:hAnsi="Times New Roman" w:cs="Times New Roman"/>
          <w:b/>
          <w:sz w:val="20"/>
          <w:szCs w:val="20"/>
          <w:lang w:val="en-GB"/>
        </w:rPr>
        <w:t>T</w:t>
      </w:r>
      <w:r w:rsidR="007422A0" w:rsidRPr="007422A0">
        <w:rPr>
          <w:rFonts w:ascii="Times New Roman" w:hAnsi="Times New Roman" w:cs="Times New Roman"/>
          <w:b/>
          <w:sz w:val="20"/>
          <w:szCs w:val="20"/>
          <w:lang w:val="en-GB"/>
        </w:rPr>
        <w:t xml:space="preserve">he terminology of ‘component gap’ </w:t>
      </w:r>
      <w:r w:rsidR="007422A0">
        <w:rPr>
          <w:rFonts w:ascii="Times New Roman" w:hAnsi="Times New Roman" w:cs="Times New Roman"/>
          <w:b/>
          <w:sz w:val="20"/>
          <w:szCs w:val="20"/>
          <w:lang w:val="en-GB"/>
        </w:rPr>
        <w:t>is</w:t>
      </w:r>
      <w:r w:rsidR="007422A0" w:rsidRPr="007422A0">
        <w:rPr>
          <w:rFonts w:ascii="Times New Roman" w:hAnsi="Times New Roman" w:cs="Times New Roman"/>
          <w:b/>
          <w:sz w:val="20"/>
          <w:szCs w:val="20"/>
          <w:lang w:val="en-GB"/>
        </w:rPr>
        <w:t xml:space="preserve"> used </w:t>
      </w:r>
      <w:r w:rsidR="007422A0">
        <w:rPr>
          <w:rFonts w:ascii="Times New Roman" w:hAnsi="Times New Roman" w:cs="Times New Roman"/>
          <w:b/>
          <w:sz w:val="20"/>
          <w:szCs w:val="20"/>
          <w:lang w:val="en-GB"/>
        </w:rPr>
        <w:t xml:space="preserve">which </w:t>
      </w:r>
      <w:r w:rsidR="00F54C38">
        <w:rPr>
          <w:rFonts w:ascii="Times New Roman" w:hAnsi="Times New Roman" w:cs="Times New Roman"/>
          <w:b/>
          <w:sz w:val="20"/>
          <w:szCs w:val="20"/>
          <w:lang w:val="en-GB"/>
        </w:rPr>
        <w:t xml:space="preserve">represent </w:t>
      </w:r>
      <w:r w:rsidR="007422A0" w:rsidRPr="007422A0">
        <w:rPr>
          <w:rFonts w:ascii="Times New Roman" w:hAnsi="Times New Roman" w:cs="Times New Roman"/>
          <w:b/>
          <w:sz w:val="20"/>
          <w:szCs w:val="20"/>
          <w:lang w:val="en-GB"/>
        </w:rPr>
        <w:t xml:space="preserve">one of MG </w:t>
      </w:r>
      <w:r w:rsidR="0012493E">
        <w:rPr>
          <w:rFonts w:ascii="Times New Roman" w:hAnsi="Times New Roman" w:cs="Times New Roman"/>
          <w:b/>
          <w:sz w:val="20"/>
          <w:szCs w:val="20"/>
          <w:lang w:val="en-GB"/>
        </w:rPr>
        <w:t xml:space="preserve">pattern </w:t>
      </w:r>
      <w:r w:rsidR="007422A0" w:rsidRPr="007422A0">
        <w:rPr>
          <w:rFonts w:ascii="Times New Roman" w:hAnsi="Times New Roman" w:cs="Times New Roman"/>
          <w:b/>
          <w:sz w:val="20"/>
          <w:szCs w:val="20"/>
          <w:lang w:val="en-GB"/>
        </w:rPr>
        <w:t xml:space="preserve">configured </w:t>
      </w:r>
      <w:r w:rsidR="0012493E">
        <w:rPr>
          <w:rFonts w:ascii="Times New Roman" w:hAnsi="Times New Roman" w:cs="Times New Roman"/>
          <w:b/>
          <w:sz w:val="20"/>
          <w:szCs w:val="20"/>
          <w:lang w:val="en-GB"/>
        </w:rPr>
        <w:t>in</w:t>
      </w:r>
      <w:r w:rsidR="007422A0" w:rsidRPr="007422A0">
        <w:rPr>
          <w:rFonts w:ascii="Times New Roman" w:hAnsi="Times New Roman" w:cs="Times New Roman"/>
          <w:b/>
          <w:sz w:val="20"/>
          <w:szCs w:val="20"/>
          <w:lang w:val="en-GB"/>
        </w:rPr>
        <w:t xml:space="preserve"> concurrent MG</w:t>
      </w:r>
      <w:r w:rsidR="0012493E">
        <w:rPr>
          <w:rFonts w:ascii="Times New Roman" w:hAnsi="Times New Roman" w:cs="Times New Roman"/>
          <w:b/>
          <w:sz w:val="20"/>
          <w:szCs w:val="20"/>
          <w:lang w:val="en-GB"/>
        </w:rPr>
        <w:t>s</w:t>
      </w:r>
      <w:r w:rsidR="007422A0" w:rsidRPr="007422A0">
        <w:rPr>
          <w:rFonts w:ascii="Times New Roman" w:hAnsi="Times New Roman" w:cs="Times New Roman"/>
          <w:b/>
          <w:sz w:val="20"/>
          <w:szCs w:val="20"/>
          <w:lang w:val="en-GB"/>
        </w:rPr>
        <w:t>, and the component gap can be Type-1 MG, Type-2 MG, Pre-MG or NCSG.</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4A583B" w:rsidRPr="004A583B" w:rsidRDefault="004A583B" w:rsidP="004A583B">
            <w:pPr>
              <w:pStyle w:val="2"/>
              <w:widowControl/>
              <w:numPr>
                <w:ilvl w:val="1"/>
                <w:numId w:val="0"/>
              </w:numPr>
              <w:tabs>
                <w:tab w:val="left" w:pos="432"/>
                <w:tab w:val="left" w:pos="576"/>
              </w:tabs>
              <w:snapToGrid w:val="0"/>
              <w:spacing w:before="0" w:after="0" w:line="240" w:lineRule="auto"/>
              <w:ind w:left="576" w:hanging="576"/>
              <w:jc w:val="left"/>
              <w:rPr>
                <w:rFonts w:ascii="Times New Roman" w:hAnsi="Times New Roman" w:cs="Times New Roman"/>
                <w:b w:val="0"/>
                <w:bCs w:val="0"/>
                <w:sz w:val="20"/>
                <w:szCs w:val="20"/>
              </w:rPr>
            </w:pPr>
            <w:r w:rsidRPr="004A583B">
              <w:rPr>
                <w:rFonts w:ascii="Times New Roman" w:hAnsi="Times New Roman" w:cs="Times New Roman"/>
                <w:b w:val="0"/>
                <w:bCs w:val="0"/>
                <w:sz w:val="20"/>
                <w:szCs w:val="20"/>
                <w:u w:val="single"/>
              </w:rPr>
              <w:lastRenderedPageBreak/>
              <w:t>Issue 3-1-1: [Case 1] Whether to consider Pre-MG + Pre-MG in an FR</w:t>
            </w:r>
            <w:r w:rsidRPr="004A583B">
              <w:rPr>
                <w:rFonts w:ascii="Times New Roman" w:hAnsi="Times New Roman" w:cs="Times New Roman"/>
                <w:b w:val="0"/>
                <w:bCs w:val="0"/>
                <w:sz w:val="20"/>
                <w:szCs w:val="20"/>
              </w:rPr>
              <w:t xml:space="preserve">  </w:t>
            </w:r>
          </w:p>
          <w:p w:rsidR="004A583B" w:rsidRPr="004A583B" w:rsidRDefault="004A583B" w:rsidP="004A583B">
            <w:pPr>
              <w:snapToGrid w:val="0"/>
              <w:spacing w:afterLines="50" w:after="156"/>
              <w:ind w:leftChars="200" w:left="420"/>
              <w:rPr>
                <w:rFonts w:ascii="Times New Roman" w:hAnsi="Times New Roman" w:cs="Times New Roman"/>
                <w:sz w:val="20"/>
                <w:szCs w:val="20"/>
              </w:rPr>
            </w:pPr>
            <w:r w:rsidRPr="004A583B">
              <w:rPr>
                <w:rFonts w:ascii="Times New Roman" w:hAnsi="Times New Roman" w:cs="Times New Roman"/>
                <w:b/>
                <w:sz w:val="20"/>
                <w:szCs w:val="20"/>
              </w:rPr>
              <w:t>&lt; Agreement &gt;</w:t>
            </w:r>
            <w:r w:rsidRPr="004A583B">
              <w:rPr>
                <w:rFonts w:ascii="Times New Roman" w:hAnsi="Times New Roman" w:cs="Times New Roman"/>
                <w:sz w:val="20"/>
                <w:szCs w:val="20"/>
              </w:rPr>
              <w:t xml:space="preserve">:  </w:t>
            </w:r>
          </w:p>
          <w:p w:rsidR="004A583B" w:rsidRPr="004A583B" w:rsidRDefault="004A583B" w:rsidP="004A583B">
            <w:pPr>
              <w:widowControl/>
              <w:numPr>
                <w:ilvl w:val="0"/>
                <w:numId w:val="42"/>
              </w:numPr>
              <w:snapToGrid w:val="0"/>
              <w:spacing w:afterLines="50" w:after="156"/>
              <w:jc w:val="left"/>
              <w:rPr>
                <w:rFonts w:ascii="Times New Roman" w:hAnsi="Times New Roman" w:cs="Times New Roman"/>
                <w:sz w:val="20"/>
                <w:szCs w:val="20"/>
              </w:rPr>
            </w:pPr>
            <w:r w:rsidRPr="004A583B">
              <w:rPr>
                <w:rFonts w:ascii="Times New Roman" w:hAnsi="Times New Roman" w:cs="Times New Roman"/>
                <w:sz w:val="20"/>
                <w:szCs w:val="20"/>
              </w:rPr>
              <w:t>Narrow down options to Option 1 and 1a.</w:t>
            </w:r>
          </w:p>
          <w:p w:rsidR="004A583B" w:rsidRPr="004A583B" w:rsidRDefault="004A583B" w:rsidP="004A583B">
            <w:pPr>
              <w:widowControl/>
              <w:numPr>
                <w:ilvl w:val="1"/>
                <w:numId w:val="42"/>
              </w:numPr>
              <w:snapToGrid w:val="0"/>
              <w:spacing w:afterLines="50" w:after="156"/>
              <w:jc w:val="left"/>
              <w:rPr>
                <w:rFonts w:ascii="Times New Roman" w:hAnsi="Times New Roman" w:cs="Times New Roman"/>
                <w:sz w:val="20"/>
                <w:szCs w:val="20"/>
              </w:rPr>
            </w:pPr>
            <w:r w:rsidRPr="004A583B">
              <w:rPr>
                <w:rFonts w:ascii="Times New Roman" w:hAnsi="Times New Roman" w:cs="Times New Roman"/>
                <w:sz w:val="20"/>
                <w:szCs w:val="20"/>
              </w:rPr>
              <w:t>Option 1: Yes</w:t>
            </w:r>
          </w:p>
          <w:p w:rsidR="004A583B" w:rsidRPr="004A583B" w:rsidRDefault="004A583B" w:rsidP="004A583B">
            <w:pPr>
              <w:pStyle w:val="a7"/>
              <w:numPr>
                <w:ilvl w:val="1"/>
                <w:numId w:val="42"/>
              </w:numPr>
              <w:snapToGrid w:val="0"/>
              <w:spacing w:afterLines="50" w:after="156"/>
              <w:contextualSpacing w:val="0"/>
              <w:rPr>
                <w:sz w:val="20"/>
                <w:szCs w:val="20"/>
                <w:lang w:eastAsia="zh-CN"/>
              </w:rPr>
            </w:pPr>
            <w:r w:rsidRPr="004A583B">
              <w:rPr>
                <w:sz w:val="20"/>
                <w:szCs w:val="20"/>
                <w:lang w:eastAsia="zh-CN"/>
              </w:rPr>
              <w:t>Option 1a: Yes, with UE capability</w:t>
            </w:r>
          </w:p>
          <w:p w:rsidR="004A583B" w:rsidRPr="004A583B" w:rsidRDefault="004A583B" w:rsidP="004A583B">
            <w:pPr>
              <w:pStyle w:val="2"/>
              <w:widowControl/>
              <w:numPr>
                <w:ilvl w:val="1"/>
                <w:numId w:val="0"/>
              </w:numPr>
              <w:tabs>
                <w:tab w:val="left" w:pos="432"/>
                <w:tab w:val="left" w:pos="576"/>
              </w:tabs>
              <w:snapToGrid w:val="0"/>
              <w:spacing w:before="0" w:after="0" w:line="240" w:lineRule="auto"/>
              <w:ind w:left="576" w:hanging="576"/>
              <w:jc w:val="left"/>
              <w:rPr>
                <w:rFonts w:ascii="Times New Roman" w:hAnsi="Times New Roman" w:cs="Times New Roman"/>
                <w:b w:val="0"/>
                <w:bCs w:val="0"/>
                <w:sz w:val="20"/>
                <w:szCs w:val="20"/>
              </w:rPr>
            </w:pPr>
            <w:r w:rsidRPr="004A583B">
              <w:rPr>
                <w:rFonts w:ascii="Times New Roman" w:hAnsi="Times New Roman" w:cs="Times New Roman"/>
                <w:b w:val="0"/>
                <w:bCs w:val="0"/>
                <w:sz w:val="20"/>
                <w:szCs w:val="20"/>
                <w:u w:val="single"/>
              </w:rPr>
              <w:t>Issue 3-1-2: [Case 1] Discussion on UE signalling capability</w:t>
            </w:r>
            <w:r w:rsidRPr="004A583B">
              <w:rPr>
                <w:rFonts w:ascii="Times New Roman" w:hAnsi="Times New Roman" w:cs="Times New Roman"/>
                <w:b w:val="0"/>
                <w:bCs w:val="0"/>
                <w:sz w:val="20"/>
                <w:szCs w:val="20"/>
              </w:rPr>
              <w:t xml:space="preserve">  </w:t>
            </w:r>
          </w:p>
          <w:p w:rsidR="004A583B" w:rsidRPr="004A583B" w:rsidRDefault="004A583B" w:rsidP="004A583B">
            <w:pPr>
              <w:snapToGrid w:val="0"/>
              <w:spacing w:afterLines="50" w:after="156"/>
              <w:ind w:leftChars="200" w:left="420"/>
              <w:rPr>
                <w:rFonts w:ascii="Times New Roman" w:hAnsi="Times New Roman" w:cs="Times New Roman"/>
                <w:sz w:val="20"/>
                <w:szCs w:val="20"/>
              </w:rPr>
            </w:pPr>
            <w:r w:rsidRPr="004A583B">
              <w:rPr>
                <w:rFonts w:ascii="Times New Roman" w:hAnsi="Times New Roman" w:cs="Times New Roman"/>
                <w:b/>
                <w:sz w:val="20"/>
                <w:szCs w:val="20"/>
              </w:rPr>
              <w:t>&lt; Wayforward &gt;</w:t>
            </w:r>
            <w:r w:rsidRPr="004A583B">
              <w:rPr>
                <w:rFonts w:ascii="Times New Roman" w:hAnsi="Times New Roman" w:cs="Times New Roman"/>
                <w:sz w:val="20"/>
                <w:szCs w:val="20"/>
              </w:rPr>
              <w:t xml:space="preserve">:  </w:t>
            </w:r>
          </w:p>
          <w:p w:rsidR="004A583B" w:rsidRPr="004A583B" w:rsidRDefault="004A583B" w:rsidP="004A583B">
            <w:pPr>
              <w:pStyle w:val="a7"/>
              <w:numPr>
                <w:ilvl w:val="0"/>
                <w:numId w:val="42"/>
              </w:numPr>
              <w:snapToGrid w:val="0"/>
              <w:contextualSpacing w:val="0"/>
              <w:rPr>
                <w:sz w:val="20"/>
                <w:szCs w:val="20"/>
                <w:lang w:eastAsia="zh-CN"/>
              </w:rPr>
            </w:pPr>
            <w:r w:rsidRPr="004A583B">
              <w:rPr>
                <w:sz w:val="20"/>
                <w:szCs w:val="20"/>
                <w:lang w:eastAsia="zh-CN"/>
              </w:rPr>
              <w:t>FFS: Signalling capability shall be defined:</w:t>
            </w:r>
          </w:p>
          <w:p w:rsidR="004A583B" w:rsidRPr="004A583B" w:rsidRDefault="004A583B" w:rsidP="004A583B">
            <w:pPr>
              <w:widowControl/>
              <w:numPr>
                <w:ilvl w:val="1"/>
                <w:numId w:val="42"/>
              </w:numPr>
              <w:snapToGrid w:val="0"/>
              <w:spacing w:afterLines="50" w:after="156"/>
              <w:jc w:val="left"/>
              <w:rPr>
                <w:rFonts w:ascii="Times New Roman" w:hAnsi="Times New Roman" w:cs="Times New Roman"/>
                <w:sz w:val="20"/>
                <w:szCs w:val="20"/>
              </w:rPr>
            </w:pPr>
            <w:r w:rsidRPr="004A583B">
              <w:rPr>
                <w:rFonts w:ascii="Times New Roman" w:hAnsi="Times New Roman" w:cs="Times New Roman"/>
                <w:sz w:val="20"/>
                <w:szCs w:val="20"/>
              </w:rPr>
              <w:t>Option 1: A unified capability to indicate support of case 1, including Pre-MG + Type-2 MG and Pre-MG + Pre-MG</w:t>
            </w:r>
          </w:p>
          <w:p w:rsidR="004A583B" w:rsidRPr="004A583B" w:rsidRDefault="004A583B" w:rsidP="004A583B">
            <w:pPr>
              <w:widowControl/>
              <w:numPr>
                <w:ilvl w:val="1"/>
                <w:numId w:val="42"/>
              </w:numPr>
              <w:snapToGrid w:val="0"/>
              <w:spacing w:afterLines="50" w:after="156"/>
              <w:jc w:val="left"/>
              <w:rPr>
                <w:rFonts w:ascii="Times New Roman" w:hAnsi="Times New Roman" w:cs="Times New Roman"/>
                <w:sz w:val="20"/>
                <w:szCs w:val="20"/>
              </w:rPr>
            </w:pPr>
            <w:r w:rsidRPr="004A583B">
              <w:rPr>
                <w:rFonts w:ascii="Times New Roman" w:hAnsi="Times New Roman" w:cs="Times New Roman"/>
                <w:sz w:val="20"/>
                <w:szCs w:val="20"/>
              </w:rPr>
              <w:t>Option 2: Two separate capabilities to indicate support of Pre-MG + Type-2 MG and Pre-MG + Pre-MG.</w:t>
            </w:r>
          </w:p>
          <w:p w:rsidR="004A583B" w:rsidRPr="004A583B" w:rsidRDefault="004A583B" w:rsidP="004A583B">
            <w:pPr>
              <w:widowControl/>
              <w:numPr>
                <w:ilvl w:val="1"/>
                <w:numId w:val="42"/>
              </w:numPr>
              <w:snapToGrid w:val="0"/>
              <w:spacing w:afterLines="50" w:after="156"/>
              <w:jc w:val="left"/>
              <w:rPr>
                <w:rFonts w:ascii="Times New Roman" w:hAnsi="Times New Roman" w:cs="Times New Roman"/>
                <w:sz w:val="20"/>
                <w:szCs w:val="20"/>
              </w:rPr>
            </w:pPr>
            <w:r w:rsidRPr="004A583B">
              <w:rPr>
                <w:rFonts w:ascii="Times New Roman" w:hAnsi="Times New Roman" w:cs="Times New Roman"/>
                <w:sz w:val="20"/>
                <w:szCs w:val="20"/>
              </w:rPr>
              <w:t>Option 3: Others.</w:t>
            </w:r>
          </w:p>
          <w:p w:rsidR="004A583B" w:rsidRPr="004A583B" w:rsidRDefault="004A583B" w:rsidP="004A583B">
            <w:pPr>
              <w:pStyle w:val="2"/>
              <w:widowControl/>
              <w:numPr>
                <w:ilvl w:val="1"/>
                <w:numId w:val="0"/>
              </w:numPr>
              <w:tabs>
                <w:tab w:val="left" w:pos="432"/>
                <w:tab w:val="left" w:pos="576"/>
              </w:tabs>
              <w:snapToGrid w:val="0"/>
              <w:spacing w:before="0" w:after="0" w:line="240" w:lineRule="auto"/>
              <w:ind w:left="576" w:hanging="576"/>
              <w:jc w:val="left"/>
              <w:rPr>
                <w:rFonts w:ascii="Times New Roman" w:hAnsi="Times New Roman" w:cs="Times New Roman"/>
                <w:b w:val="0"/>
                <w:bCs w:val="0"/>
                <w:sz w:val="20"/>
                <w:szCs w:val="20"/>
              </w:rPr>
            </w:pPr>
            <w:r w:rsidRPr="004A583B">
              <w:rPr>
                <w:rFonts w:ascii="Times New Roman" w:hAnsi="Times New Roman" w:cs="Times New Roman"/>
                <w:b w:val="0"/>
                <w:bCs w:val="0"/>
                <w:sz w:val="20"/>
                <w:szCs w:val="20"/>
                <w:u w:val="single"/>
              </w:rPr>
              <w:t>Issue 3-1-3: [Case 1] Whether to support the following scenarios for Pre-MG + Pre-MG</w:t>
            </w:r>
            <w:r w:rsidRPr="004A583B">
              <w:rPr>
                <w:rFonts w:ascii="Times New Roman" w:hAnsi="Times New Roman" w:cs="Times New Roman"/>
                <w:b w:val="0"/>
                <w:bCs w:val="0"/>
                <w:sz w:val="20"/>
                <w:szCs w:val="20"/>
              </w:rPr>
              <w:t xml:space="preserve">  </w:t>
            </w:r>
          </w:p>
          <w:p w:rsidR="004A583B" w:rsidRPr="004A583B" w:rsidRDefault="004A583B" w:rsidP="004A583B">
            <w:pPr>
              <w:snapToGrid w:val="0"/>
              <w:spacing w:afterLines="50" w:after="156"/>
              <w:ind w:leftChars="200" w:left="420"/>
              <w:rPr>
                <w:rFonts w:ascii="Times New Roman" w:hAnsi="Times New Roman" w:cs="Times New Roman"/>
                <w:sz w:val="20"/>
                <w:szCs w:val="20"/>
              </w:rPr>
            </w:pPr>
            <w:r w:rsidRPr="004A583B">
              <w:rPr>
                <w:rFonts w:ascii="Times New Roman" w:hAnsi="Times New Roman" w:cs="Times New Roman"/>
                <w:b/>
                <w:sz w:val="20"/>
                <w:szCs w:val="20"/>
              </w:rPr>
              <w:t>&lt; Wayforward &gt;</w:t>
            </w:r>
            <w:r w:rsidRPr="004A583B">
              <w:rPr>
                <w:rFonts w:ascii="Times New Roman" w:hAnsi="Times New Roman" w:cs="Times New Roman"/>
                <w:sz w:val="20"/>
                <w:szCs w:val="20"/>
              </w:rPr>
              <w:t xml:space="preserve">:  </w:t>
            </w:r>
          </w:p>
          <w:p w:rsidR="004A583B" w:rsidRPr="004A583B" w:rsidRDefault="004A583B" w:rsidP="004A583B">
            <w:pPr>
              <w:pStyle w:val="a7"/>
              <w:numPr>
                <w:ilvl w:val="0"/>
                <w:numId w:val="42"/>
              </w:numPr>
              <w:snapToGrid w:val="0"/>
              <w:contextualSpacing w:val="0"/>
              <w:rPr>
                <w:sz w:val="20"/>
                <w:szCs w:val="20"/>
                <w:lang w:eastAsia="zh-CN"/>
              </w:rPr>
            </w:pPr>
            <w:r w:rsidRPr="004A583B">
              <w:rPr>
                <w:sz w:val="20"/>
                <w:szCs w:val="20"/>
                <w:lang w:eastAsia="zh-CN"/>
              </w:rPr>
              <w:t>FFS: RAN4 should further study the activation/deactivation options for Pre-MG + Pre-MG</w:t>
            </w:r>
          </w:p>
          <w:p w:rsidR="004A583B" w:rsidRPr="004A583B" w:rsidRDefault="004A583B" w:rsidP="004A583B">
            <w:pPr>
              <w:widowControl/>
              <w:numPr>
                <w:ilvl w:val="1"/>
                <w:numId w:val="42"/>
              </w:numPr>
              <w:snapToGrid w:val="0"/>
              <w:spacing w:afterLines="50" w:after="156"/>
              <w:jc w:val="left"/>
              <w:rPr>
                <w:rFonts w:ascii="Times New Roman" w:hAnsi="Times New Roman" w:cs="Times New Roman"/>
                <w:sz w:val="20"/>
                <w:szCs w:val="20"/>
              </w:rPr>
            </w:pPr>
            <w:r w:rsidRPr="004A583B">
              <w:rPr>
                <w:rFonts w:ascii="Times New Roman" w:hAnsi="Times New Roman" w:cs="Times New Roman"/>
                <w:sz w:val="20"/>
                <w:szCs w:val="20"/>
              </w:rPr>
              <w:t>Option 1: Simultaneous multiple Pre-MGs activation/deactivation</w:t>
            </w:r>
          </w:p>
          <w:p w:rsidR="00F54C38" w:rsidRPr="004A583B" w:rsidRDefault="004A583B" w:rsidP="004A583B">
            <w:pPr>
              <w:widowControl/>
              <w:numPr>
                <w:ilvl w:val="1"/>
                <w:numId w:val="42"/>
              </w:numPr>
              <w:snapToGrid w:val="0"/>
              <w:spacing w:afterLines="50" w:after="156"/>
              <w:jc w:val="left"/>
              <w:rPr>
                <w:rFonts w:ascii="Times New Roman" w:hAnsi="Times New Roman" w:cs="Times New Roman"/>
                <w:sz w:val="24"/>
              </w:rPr>
            </w:pPr>
            <w:r w:rsidRPr="004A583B">
              <w:rPr>
                <w:rFonts w:ascii="Times New Roman" w:hAnsi="Times New Roman" w:cs="Times New Roman"/>
                <w:sz w:val="20"/>
                <w:szCs w:val="20"/>
              </w:rPr>
              <w:t>Option 2: Non-simultaneous multiple Pre-MGs activation/deactivation</w:t>
            </w:r>
          </w:p>
        </w:tc>
      </w:tr>
    </w:tbl>
    <w:p w:rsidR="00242135"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WID scope, the combination of Pre-MG + Pre-MG in an FR should be included.</w:t>
      </w:r>
      <w:r w:rsidR="002B7E31">
        <w:rPr>
          <w:rFonts w:ascii="Times New Roman" w:hAnsi="Times New Roman" w:cs="Times New Roman"/>
          <w:sz w:val="20"/>
          <w:szCs w:val="20"/>
          <w:lang w:val="en-GB"/>
        </w:rPr>
        <w:t xml:space="preserve"> And we do not see the necessity to introduce UE capability to support this gap combination. In our understanding, if UE support</w:t>
      </w:r>
      <w:r w:rsidR="006546C9">
        <w:rPr>
          <w:rFonts w:ascii="Times New Roman" w:hAnsi="Times New Roman" w:cs="Times New Roman"/>
          <w:sz w:val="20"/>
          <w:szCs w:val="20"/>
          <w:lang w:val="en-GB"/>
        </w:rPr>
        <w:t>s</w:t>
      </w:r>
      <w:r w:rsidR="002B7E31">
        <w:rPr>
          <w:rFonts w:ascii="Times New Roman" w:hAnsi="Times New Roman" w:cs="Times New Roman"/>
          <w:sz w:val="20"/>
          <w:szCs w:val="20"/>
          <w:lang w:val="en-GB"/>
        </w:rPr>
        <w:t xml:space="preserve"> both Rel-17 Pre-MG and concurrent MG, </w:t>
      </w:r>
      <w:r w:rsidR="006546C9">
        <w:rPr>
          <w:rFonts w:ascii="Times New Roman" w:hAnsi="Times New Roman" w:cs="Times New Roman"/>
          <w:sz w:val="20"/>
          <w:szCs w:val="20"/>
          <w:lang w:val="en-GB"/>
        </w:rPr>
        <w:t>the</w:t>
      </w:r>
      <w:r w:rsidR="002B7E31">
        <w:rPr>
          <w:rFonts w:ascii="Times New Roman" w:hAnsi="Times New Roman" w:cs="Times New Roman"/>
          <w:sz w:val="20"/>
          <w:szCs w:val="20"/>
          <w:lang w:val="en-GB"/>
        </w:rPr>
        <w:t xml:space="preserve"> combination</w:t>
      </w:r>
      <w:r w:rsidR="006546C9">
        <w:rPr>
          <w:rFonts w:ascii="Times New Roman" w:hAnsi="Times New Roman" w:cs="Times New Roman"/>
          <w:sz w:val="20"/>
          <w:szCs w:val="20"/>
          <w:lang w:val="en-GB"/>
        </w:rPr>
        <w:t xml:space="preserve"> of pre-MG + Type-2 MG and pre-MG +pre-MG</w:t>
      </w:r>
      <w:r w:rsidR="002B7E31">
        <w:rPr>
          <w:rFonts w:ascii="Times New Roman" w:hAnsi="Times New Roman" w:cs="Times New Roman"/>
          <w:sz w:val="20"/>
          <w:szCs w:val="20"/>
          <w:lang w:val="en-GB"/>
        </w:rPr>
        <w:t xml:space="preserve"> can be supported without any additional UE capability.</w:t>
      </w:r>
    </w:p>
    <w:p w:rsidR="0022457F" w:rsidRP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combination of Pre-MG + Pre-MG in an FR</w:t>
      </w:r>
      <w:r w:rsidRPr="007422A0">
        <w:rPr>
          <w:rFonts w:ascii="Times New Roman" w:hAnsi="Times New Roman" w:cs="Times New Roman"/>
          <w:b/>
          <w:sz w:val="20"/>
          <w:szCs w:val="20"/>
          <w:lang w:val="en-GB"/>
        </w:rPr>
        <w:t>.</w:t>
      </w:r>
    </w:p>
    <w:p w:rsidR="006546C9" w:rsidRPr="006546C9" w:rsidRDefault="006546C9" w:rsidP="0024213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Pr="006546C9">
        <w:rPr>
          <w:rFonts w:ascii="Times New Roman" w:hAnsi="Times New Roman" w:cs="Times New Roman"/>
          <w:b/>
          <w:sz w:val="20"/>
          <w:szCs w:val="20"/>
          <w:lang w:val="en-GB"/>
        </w:rPr>
        <w:t>If UE supports both Rel-17 Pre-MG and concurrent MG, the combination of pre-MG + Type-2 MG and pre-MG +pre-MG can be supported without any additional UE capability.</w:t>
      </w:r>
    </w:p>
    <w:p w:rsidR="00C0113C" w:rsidRDefault="006546C9" w:rsidP="00242135">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pre-MG + pre-MG case, </w:t>
      </w:r>
      <w:r w:rsidR="008A0C13">
        <w:rPr>
          <w:rFonts w:ascii="Times New Roman" w:hAnsi="Times New Roman" w:cs="Times New Roman"/>
          <w:sz w:val="20"/>
          <w:szCs w:val="20"/>
          <w:lang w:val="en-GB"/>
        </w:rPr>
        <w:t xml:space="preserve">when the </w:t>
      </w:r>
      <w:r w:rsidR="002F0CE5">
        <w:rPr>
          <w:rFonts w:ascii="Times New Roman" w:hAnsi="Times New Roman" w:cs="Times New Roman"/>
          <w:sz w:val="20"/>
          <w:szCs w:val="20"/>
          <w:lang w:val="en-GB"/>
        </w:rPr>
        <w:t>active BWP switching trigger</w:t>
      </w:r>
      <w:r w:rsidR="008A0C13">
        <w:rPr>
          <w:rFonts w:ascii="Times New Roman" w:hAnsi="Times New Roman" w:cs="Times New Roman"/>
          <w:sz w:val="20"/>
          <w:szCs w:val="20"/>
          <w:lang w:val="en-GB"/>
        </w:rPr>
        <w:t>s</w:t>
      </w:r>
      <w:r w:rsidR="002F0CE5">
        <w:rPr>
          <w:rFonts w:ascii="Times New Roman" w:hAnsi="Times New Roman" w:cs="Times New Roman"/>
          <w:sz w:val="20"/>
          <w:szCs w:val="20"/>
          <w:lang w:val="en-GB"/>
        </w:rPr>
        <w:t>, and i</w:t>
      </w:r>
      <w:r w:rsidR="006F4393">
        <w:rPr>
          <w:rFonts w:ascii="Times New Roman" w:hAnsi="Times New Roman" w:cs="Times New Roman"/>
          <w:sz w:val="20"/>
          <w:szCs w:val="20"/>
          <w:lang w:val="en-GB"/>
        </w:rPr>
        <w:t>f the state of one of pre-MG needs to be changed, the existing activation/deactivation procedure applies.</w:t>
      </w:r>
      <w:r w:rsidR="005D3087">
        <w:rPr>
          <w:rFonts w:ascii="Times New Roman" w:hAnsi="Times New Roman" w:cs="Times New Roman"/>
          <w:sz w:val="20"/>
          <w:szCs w:val="20"/>
          <w:lang w:val="en-GB"/>
        </w:rPr>
        <w:t xml:space="preserve"> If </w:t>
      </w:r>
      <w:r w:rsidR="00AB1543">
        <w:rPr>
          <w:rFonts w:ascii="Times New Roman" w:hAnsi="Times New Roman" w:cs="Times New Roman"/>
          <w:sz w:val="20"/>
          <w:szCs w:val="20"/>
          <w:lang w:val="en-GB"/>
        </w:rPr>
        <w:t>the state of both pre-MGs need to be changed,</w:t>
      </w:r>
      <w:r w:rsidR="005D308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pre-MGs </w:t>
      </w:r>
      <w:r w:rsidR="006F4393">
        <w:rPr>
          <w:rFonts w:ascii="Times New Roman" w:hAnsi="Times New Roman" w:cs="Times New Roman"/>
          <w:sz w:val="20"/>
          <w:szCs w:val="20"/>
          <w:lang w:val="en-GB"/>
        </w:rPr>
        <w:t>can</w:t>
      </w:r>
      <w:r>
        <w:rPr>
          <w:rFonts w:ascii="Times New Roman" w:hAnsi="Times New Roman" w:cs="Times New Roman"/>
          <w:sz w:val="20"/>
          <w:szCs w:val="20"/>
          <w:lang w:val="en-GB"/>
        </w:rPr>
        <w:t xml:space="preserve"> be activated/deacti</w:t>
      </w:r>
      <w:r w:rsidR="006F4393">
        <w:rPr>
          <w:rFonts w:ascii="Times New Roman" w:hAnsi="Times New Roman" w:cs="Times New Roman"/>
          <w:sz w:val="20"/>
          <w:szCs w:val="20"/>
          <w:lang w:val="en-GB"/>
        </w:rPr>
        <w:t>vated simultaneously.</w:t>
      </w:r>
      <w:r w:rsidR="002F0CE5">
        <w:rPr>
          <w:rFonts w:ascii="Times New Roman" w:hAnsi="Times New Roman" w:cs="Times New Roman"/>
          <w:sz w:val="20"/>
          <w:szCs w:val="20"/>
          <w:lang w:val="en-GB"/>
        </w:rPr>
        <w:t xml:space="preserve"> The existing pre-MG activation delay defined in Rel-17 can be reused.</w:t>
      </w:r>
      <w:r w:rsidR="00C0113C">
        <w:rPr>
          <w:rFonts w:ascii="Times New Roman" w:hAnsi="Times New Roman" w:cs="Times New Roman"/>
          <w:sz w:val="20"/>
          <w:szCs w:val="20"/>
          <w:lang w:val="en-GB"/>
        </w:rPr>
        <w:t xml:space="preserve"> </w:t>
      </w:r>
    </w:p>
    <w:p w:rsidR="006546C9" w:rsidRDefault="00C0113C" w:rsidP="00242135">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In our understanding, the non-simultaneous multiple pre-MGs activation/deactivation, e.g. before the completion of the first pre-MG (de)activation the second pre-MG is (de)activated, is not a valid case, since both the configured pre-MGs has to </w:t>
      </w:r>
      <w:r w:rsidR="006B0FDC">
        <w:rPr>
          <w:rFonts w:ascii="Times New Roman" w:hAnsi="Times New Roman" w:cs="Times New Roman"/>
          <w:sz w:val="20"/>
          <w:szCs w:val="20"/>
          <w:lang w:val="en-GB"/>
        </w:rPr>
        <w:t>determine the state of pre-MG after receiving each trigger event.</w:t>
      </w:r>
      <w:r>
        <w:rPr>
          <w:rFonts w:ascii="Times New Roman" w:hAnsi="Times New Roman" w:cs="Times New Roman"/>
          <w:sz w:val="20"/>
          <w:szCs w:val="20"/>
          <w:lang w:val="en-GB"/>
        </w:rPr>
        <w:t xml:space="preserve"> </w:t>
      </w:r>
      <w:r w:rsidR="002F0CE5">
        <w:rPr>
          <w:rFonts w:ascii="Times New Roman" w:hAnsi="Times New Roman" w:cs="Times New Roman"/>
          <w:sz w:val="20"/>
          <w:szCs w:val="20"/>
          <w:lang w:val="en-GB"/>
        </w:rPr>
        <w:t xml:space="preserve">If different events </w:t>
      </w:r>
      <w:r w:rsidR="006B0FDC">
        <w:rPr>
          <w:rFonts w:ascii="Times New Roman" w:hAnsi="Times New Roman" w:cs="Times New Roman"/>
          <w:sz w:val="20"/>
          <w:szCs w:val="20"/>
          <w:lang w:val="en-GB"/>
        </w:rPr>
        <w:t>arrive</w:t>
      </w:r>
      <w:r w:rsidR="002F0CE5">
        <w:rPr>
          <w:rFonts w:ascii="Times New Roman" w:hAnsi="Times New Roman" w:cs="Times New Roman"/>
          <w:sz w:val="20"/>
          <w:szCs w:val="20"/>
          <w:lang w:val="en-GB"/>
        </w:rPr>
        <w:t xml:space="preserve"> </w:t>
      </w:r>
      <w:r w:rsidR="00E70D3F">
        <w:rPr>
          <w:rFonts w:ascii="Times New Roman" w:hAnsi="Times New Roman" w:cs="Times New Roman"/>
          <w:sz w:val="20"/>
          <w:szCs w:val="20"/>
          <w:lang w:val="en-GB"/>
        </w:rPr>
        <w:t xml:space="preserve">at different time, e.g. the second event triggers before the completion of the first event triggering, the additional delay for </w:t>
      </w:r>
      <w:r w:rsidR="006B0FDC">
        <w:rPr>
          <w:rFonts w:ascii="Times New Roman" w:hAnsi="Times New Roman" w:cs="Times New Roman"/>
          <w:sz w:val="20"/>
          <w:szCs w:val="20"/>
          <w:lang w:val="en-GB"/>
        </w:rPr>
        <w:t xml:space="preserve">the overall </w:t>
      </w:r>
      <w:r w:rsidR="00E70D3F">
        <w:rPr>
          <w:rFonts w:ascii="Times New Roman" w:hAnsi="Times New Roman" w:cs="Times New Roman"/>
          <w:sz w:val="20"/>
          <w:szCs w:val="20"/>
          <w:lang w:val="en-GB"/>
        </w:rPr>
        <w:t>pre-MG activation is expected.</w:t>
      </w:r>
    </w:p>
    <w:p w:rsidR="008A0C13" w:rsidRDefault="008A0C13" w:rsidP="006F4393">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 xml:space="preserve">bservation 1: </w:t>
      </w:r>
      <w:r w:rsidRPr="008A0C13">
        <w:rPr>
          <w:rFonts w:ascii="Times New Roman" w:hAnsi="Times New Roman" w:cs="Times New Roman"/>
          <w:b/>
          <w:sz w:val="20"/>
          <w:szCs w:val="20"/>
          <w:lang w:val="en-GB"/>
        </w:rPr>
        <w:t>The non-simultaneous multiple pre-MGs activation/deactivation, e.g. before the completion of the first pre-MG (de)activation the second pre-MG is (de)activated, is not a valid case</w:t>
      </w:r>
      <w:r>
        <w:rPr>
          <w:rFonts w:ascii="Times New Roman" w:hAnsi="Times New Roman" w:cs="Times New Roman"/>
          <w:b/>
          <w:sz w:val="20"/>
          <w:szCs w:val="20"/>
          <w:lang w:val="en-GB"/>
        </w:rPr>
        <w:t>.</w:t>
      </w:r>
    </w:p>
    <w:p w:rsidR="006F4393" w:rsidRDefault="006F4393" w:rsidP="006F4393">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For pre-MG + pre-MG case</w:t>
      </w:r>
      <w:r w:rsidRPr="006546C9">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state</w:t>
      </w:r>
      <w:r w:rsidR="00123587">
        <w:rPr>
          <w:rFonts w:ascii="Times New Roman" w:hAnsi="Times New Roman" w:cs="Times New Roman"/>
          <w:b/>
          <w:sz w:val="20"/>
          <w:szCs w:val="20"/>
          <w:lang w:val="en-GB"/>
        </w:rPr>
        <w:t>s</w:t>
      </w:r>
      <w:r w:rsidRPr="006546C9">
        <w:rPr>
          <w:rFonts w:ascii="Times New Roman" w:hAnsi="Times New Roman" w:cs="Times New Roman"/>
          <w:b/>
          <w:sz w:val="20"/>
          <w:szCs w:val="20"/>
          <w:lang w:val="en-GB"/>
        </w:rPr>
        <w:t xml:space="preserve"> of </w:t>
      </w:r>
      <w:r>
        <w:rPr>
          <w:rFonts w:ascii="Times New Roman" w:hAnsi="Times New Roman" w:cs="Times New Roman"/>
          <w:b/>
          <w:sz w:val="20"/>
          <w:szCs w:val="20"/>
          <w:lang w:val="en-GB"/>
        </w:rPr>
        <w:t xml:space="preserve">multiple </w:t>
      </w:r>
      <w:r w:rsidRPr="006546C9">
        <w:rPr>
          <w:rFonts w:ascii="Times New Roman" w:hAnsi="Times New Roman" w:cs="Times New Roman"/>
          <w:b/>
          <w:sz w:val="20"/>
          <w:szCs w:val="20"/>
          <w:lang w:val="en-GB"/>
        </w:rPr>
        <w:t>pre-MG</w:t>
      </w:r>
      <w:r>
        <w:rPr>
          <w:rFonts w:ascii="Times New Roman" w:hAnsi="Times New Roman" w:cs="Times New Roman"/>
          <w:b/>
          <w:sz w:val="20"/>
          <w:szCs w:val="20"/>
          <w:lang w:val="en-GB"/>
        </w:rPr>
        <w:t>s</w:t>
      </w:r>
      <w:r w:rsidRPr="006546C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008A0C13">
        <w:rPr>
          <w:rFonts w:ascii="Times New Roman" w:hAnsi="Times New Roman" w:cs="Times New Roman"/>
          <w:b/>
          <w:sz w:val="20"/>
          <w:szCs w:val="20"/>
          <w:lang w:val="en-GB"/>
        </w:rPr>
        <w:t>activated/deactivated</w:t>
      </w:r>
      <w:r>
        <w:rPr>
          <w:rFonts w:ascii="Times New Roman" w:hAnsi="Times New Roman" w:cs="Times New Roman"/>
          <w:b/>
          <w:sz w:val="20"/>
          <w:szCs w:val="20"/>
          <w:lang w:val="en-GB"/>
        </w:rPr>
        <w:t xml:space="preserve"> simultaneously</w:t>
      </w:r>
      <w:r w:rsidRPr="006546C9">
        <w:rPr>
          <w:rFonts w:ascii="Times New Roman" w:hAnsi="Times New Roman" w:cs="Times New Roman"/>
          <w:b/>
          <w:sz w:val="20"/>
          <w:szCs w:val="20"/>
          <w:lang w:val="en-GB"/>
        </w:rPr>
        <w:t>.</w:t>
      </w:r>
    </w:p>
    <w:p w:rsidR="008A0C13" w:rsidRPr="008A0C13" w:rsidRDefault="008A0C13" w:rsidP="006F4393">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lastRenderedPageBreak/>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sidRPr="008A0C13">
        <w:rPr>
          <w:rFonts w:ascii="Times New Roman" w:hAnsi="Times New Roman" w:cs="Times New Roman"/>
          <w:b/>
          <w:sz w:val="20"/>
          <w:szCs w:val="20"/>
          <w:lang w:val="en-GB"/>
        </w:rPr>
        <w:t xml:space="preserve">RAN4 shall reuse the Pre-MG (de)activation delay </w:t>
      </w:r>
      <w:r>
        <w:rPr>
          <w:rFonts w:ascii="Times New Roman" w:hAnsi="Times New Roman" w:cs="Times New Roman"/>
          <w:b/>
          <w:sz w:val="20"/>
          <w:szCs w:val="20"/>
          <w:lang w:val="en-GB"/>
        </w:rPr>
        <w:t>defined in</w:t>
      </w:r>
      <w:r w:rsidRPr="008A0C13">
        <w:rPr>
          <w:rFonts w:ascii="Times New Roman" w:hAnsi="Times New Roman" w:cs="Times New Roman"/>
          <w:b/>
          <w:sz w:val="20"/>
          <w:szCs w:val="20"/>
          <w:lang w:val="en-GB"/>
        </w:rPr>
        <w:t xml:space="preserve"> Rel-17 </w:t>
      </w:r>
      <w:r>
        <w:rPr>
          <w:rFonts w:ascii="Times New Roman" w:hAnsi="Times New Roman" w:cs="Times New Roman"/>
          <w:b/>
          <w:sz w:val="20"/>
          <w:szCs w:val="20"/>
          <w:lang w:val="en-GB"/>
        </w:rPr>
        <w:t>for</w:t>
      </w:r>
      <w:r w:rsidRPr="008A0C13">
        <w:rPr>
          <w:rFonts w:ascii="Times New Roman" w:hAnsi="Times New Roman" w:cs="Times New Roman"/>
          <w:b/>
          <w:sz w:val="20"/>
          <w:szCs w:val="20"/>
          <w:lang w:val="en-GB"/>
        </w:rPr>
        <w:t xml:space="preserve"> the (de)activation procedures of multiple pre-MG</w:t>
      </w:r>
      <w:r>
        <w:rPr>
          <w:rFonts w:ascii="Times New Roman" w:hAnsi="Times New Roman" w:cs="Times New Roman"/>
          <w:b/>
          <w:sz w:val="20"/>
          <w:szCs w:val="20"/>
          <w:lang w:val="en-GB"/>
        </w:rPr>
        <w:t>s</w:t>
      </w:r>
      <w:r w:rsidRPr="006546C9">
        <w:rPr>
          <w:rFonts w:ascii="Times New Roman" w:hAnsi="Times New Roman" w:cs="Times New Roman"/>
          <w:b/>
          <w:sz w:val="20"/>
          <w:szCs w:val="20"/>
          <w:lang w:val="en-GB"/>
        </w:rPr>
        <w:t>.</w:t>
      </w:r>
      <w:r>
        <w:rPr>
          <w:rFonts w:ascii="Times New Roman" w:hAnsi="Times New Roman" w:cs="Times New Roman"/>
          <w:b/>
          <w:sz w:val="20"/>
          <w:szCs w:val="20"/>
          <w:lang w:val="en-GB"/>
        </w:rPr>
        <w:t xml:space="preserve"> If additional event </w:t>
      </w:r>
      <w:r w:rsidR="00A064D7">
        <w:rPr>
          <w:rFonts w:ascii="Times New Roman" w:hAnsi="Times New Roman" w:cs="Times New Roman"/>
          <w:b/>
          <w:sz w:val="20"/>
          <w:szCs w:val="20"/>
          <w:lang w:val="en-GB"/>
        </w:rPr>
        <w:t xml:space="preserve">occur during the multiple pre-MGs </w:t>
      </w:r>
      <w:r w:rsidR="00A064D7" w:rsidRPr="008A0C13">
        <w:rPr>
          <w:rFonts w:ascii="Times New Roman" w:hAnsi="Times New Roman" w:cs="Times New Roman"/>
          <w:b/>
          <w:sz w:val="20"/>
          <w:szCs w:val="20"/>
          <w:lang w:val="en-GB"/>
        </w:rPr>
        <w:t>(de)activation procedures</w:t>
      </w:r>
      <w:r w:rsidR="00A064D7">
        <w:rPr>
          <w:rFonts w:ascii="Times New Roman" w:hAnsi="Times New Roman" w:cs="Times New Roman"/>
          <w:b/>
          <w:sz w:val="20"/>
          <w:szCs w:val="20"/>
          <w:lang w:val="en-GB"/>
        </w:rPr>
        <w:t>, additional delay is expected.</w:t>
      </w:r>
    </w:p>
    <w:tbl>
      <w:tblPr>
        <w:tblW w:w="837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4"/>
      </w:tblGrid>
      <w:tr w:rsidR="00383963" w:rsidTr="00383963">
        <w:trPr>
          <w:trHeight w:val="499"/>
        </w:trPr>
        <w:tc>
          <w:tcPr>
            <w:tcW w:w="8374" w:type="dxa"/>
          </w:tcPr>
          <w:p w:rsidR="00383963" w:rsidRPr="00383963" w:rsidRDefault="00383963" w:rsidP="00383963">
            <w:pPr>
              <w:pStyle w:val="2"/>
              <w:widowControl/>
              <w:numPr>
                <w:ilvl w:val="1"/>
                <w:numId w:val="0"/>
              </w:numPr>
              <w:tabs>
                <w:tab w:val="left" w:pos="432"/>
                <w:tab w:val="left" w:pos="576"/>
              </w:tabs>
              <w:spacing w:before="0" w:after="0" w:line="240" w:lineRule="auto"/>
              <w:ind w:left="576" w:hanging="576"/>
              <w:jc w:val="left"/>
              <w:rPr>
                <w:rFonts w:ascii="Times New Roman" w:hAnsi="Times New Roman" w:cs="Times New Roman"/>
                <w:b w:val="0"/>
                <w:bCs w:val="0"/>
                <w:sz w:val="20"/>
                <w:szCs w:val="20"/>
              </w:rPr>
            </w:pPr>
            <w:r w:rsidRPr="00383963">
              <w:rPr>
                <w:rFonts w:ascii="Times New Roman" w:hAnsi="Times New Roman" w:cs="Times New Roman"/>
                <w:b w:val="0"/>
                <w:bCs w:val="0"/>
                <w:sz w:val="20"/>
                <w:szCs w:val="20"/>
                <w:u w:val="single"/>
              </w:rPr>
              <w:t>Issue 3-2-3: [Case 1] When the pre-configured MG activation procedure is overlapped with one of concurrent gap occasion</w:t>
            </w:r>
          </w:p>
          <w:p w:rsidR="00383963" w:rsidRPr="00383963" w:rsidRDefault="00383963" w:rsidP="00383963">
            <w:pPr>
              <w:spacing w:afterLines="50" w:after="156"/>
              <w:ind w:leftChars="200" w:left="420"/>
              <w:rPr>
                <w:rFonts w:ascii="Times New Roman" w:hAnsi="Times New Roman" w:cs="Times New Roman"/>
                <w:sz w:val="20"/>
                <w:szCs w:val="20"/>
              </w:rPr>
            </w:pPr>
            <w:r w:rsidRPr="00383963">
              <w:rPr>
                <w:rFonts w:ascii="Times New Roman" w:hAnsi="Times New Roman" w:cs="Times New Roman"/>
                <w:b/>
                <w:sz w:val="20"/>
                <w:szCs w:val="20"/>
              </w:rPr>
              <w:t>&lt; Wayforward &gt;</w:t>
            </w:r>
            <w:r w:rsidRPr="00383963">
              <w:rPr>
                <w:rFonts w:ascii="Times New Roman" w:hAnsi="Times New Roman" w:cs="Times New Roman"/>
                <w:sz w:val="20"/>
                <w:szCs w:val="20"/>
              </w:rPr>
              <w:t xml:space="preserve">: </w:t>
            </w:r>
          </w:p>
          <w:p w:rsidR="00383963" w:rsidRPr="00383963" w:rsidRDefault="00383963" w:rsidP="00383963">
            <w:pPr>
              <w:pStyle w:val="a7"/>
              <w:numPr>
                <w:ilvl w:val="0"/>
                <w:numId w:val="42"/>
              </w:numPr>
              <w:contextualSpacing w:val="0"/>
              <w:rPr>
                <w:lang w:eastAsia="zh-CN"/>
              </w:rPr>
            </w:pPr>
            <w:r w:rsidRPr="00383963">
              <w:rPr>
                <w:sz w:val="20"/>
                <w:szCs w:val="20"/>
                <w:lang w:eastAsia="zh-CN"/>
              </w:rPr>
              <w:t>FFS the options.</w:t>
            </w:r>
          </w:p>
        </w:tc>
      </w:tr>
    </w:tbl>
    <w:p w:rsidR="00383963" w:rsidRDefault="00383963" w:rsidP="00383963">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When the pre-configured MG activation procedure is overlapped with the concurrent gap, the UE behaviour should be clarified, whether the UE performs the measurement or drop the measurement on the overlapped concurrent MG occasion. In our understanding, </w:t>
      </w:r>
      <w:r w:rsidR="00276796">
        <w:rPr>
          <w:rFonts w:ascii="Times New Roman" w:hAnsi="Times New Roman" w:cs="Times New Roman"/>
          <w:sz w:val="20"/>
          <w:szCs w:val="20"/>
          <w:lang w:val="en-GB"/>
        </w:rPr>
        <w:t>UE should drop the measurement on the overlapped concurrent gap occasion, otherwise, the activation of pre-MG may be failure.</w:t>
      </w:r>
    </w:p>
    <w:p w:rsidR="00383963" w:rsidRDefault="00383963" w:rsidP="00276796">
      <w:pPr>
        <w:spacing w:after="240"/>
        <w:jc w:val="center"/>
        <w:rPr>
          <w:rFonts w:ascii="Times New Roman" w:hAnsi="Times New Roman" w:cs="Times New Roman"/>
          <w:sz w:val="20"/>
          <w:szCs w:val="20"/>
          <w:lang w:val="en-GB"/>
        </w:rPr>
      </w:pPr>
      <w:r>
        <w:object w:dxaOrig="11820" w:dyaOrig="2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pt;height:70.45pt" o:ole="">
            <v:imagedata r:id="rId8" o:title=""/>
          </v:shape>
          <o:OLEObject Type="Embed" ProgID="Visio.Drawing.15" ShapeID="_x0000_i1025" DrawAspect="Content" ObjectID="_1738173286" r:id="rId9"/>
        </w:object>
      </w:r>
    </w:p>
    <w:p w:rsidR="00383963" w:rsidRPr="0089303E" w:rsidRDefault="001D03D9" w:rsidP="00CE2C3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383963" w:rsidRPr="00335825">
        <w:rPr>
          <w:rFonts w:ascii="Times New Roman" w:hAnsi="Times New Roman" w:cs="Times New Roman"/>
          <w:b/>
          <w:sz w:val="20"/>
          <w:szCs w:val="20"/>
          <w:lang w:val="en-GB"/>
        </w:rPr>
        <w:t xml:space="preserve">: When the pre-configured MG activation procedure is overlapped with one of </w:t>
      </w:r>
      <w:r w:rsidR="00383963" w:rsidRPr="0089303E">
        <w:rPr>
          <w:rFonts w:ascii="Times New Roman" w:hAnsi="Times New Roman" w:cs="Times New Roman"/>
          <w:b/>
          <w:sz w:val="20"/>
          <w:szCs w:val="20"/>
          <w:lang w:val="en-GB"/>
        </w:rPr>
        <w:t xml:space="preserve">concurrent gap occasion, the </w:t>
      </w:r>
      <w:r w:rsidR="00276796" w:rsidRPr="00276796">
        <w:rPr>
          <w:rFonts w:ascii="Times New Roman" w:hAnsi="Times New Roman" w:cs="Times New Roman"/>
          <w:b/>
          <w:sz w:val="20"/>
          <w:szCs w:val="20"/>
          <w:lang w:val="en-GB"/>
        </w:rPr>
        <w:t xml:space="preserve">UE </w:t>
      </w:r>
      <w:r w:rsidR="00276796">
        <w:rPr>
          <w:rFonts w:ascii="Times New Roman" w:hAnsi="Times New Roman" w:cs="Times New Roman"/>
          <w:b/>
          <w:sz w:val="20"/>
          <w:szCs w:val="20"/>
          <w:lang w:val="en-GB"/>
        </w:rPr>
        <w:t>shall</w:t>
      </w:r>
      <w:r w:rsidR="00276796" w:rsidRPr="00276796">
        <w:rPr>
          <w:rFonts w:ascii="Times New Roman" w:hAnsi="Times New Roman" w:cs="Times New Roman"/>
          <w:b/>
          <w:sz w:val="20"/>
          <w:szCs w:val="20"/>
          <w:lang w:val="en-GB"/>
        </w:rPr>
        <w:t xml:space="preserve"> drop the measurement on the overlapped concurrent gap occasion</w:t>
      </w:r>
      <w:r w:rsidR="00276796">
        <w:rPr>
          <w:rFonts w:ascii="Times New Roman" w:hAnsi="Times New Roman" w:cs="Times New Roman"/>
          <w:b/>
          <w:sz w:val="20"/>
          <w:szCs w:val="20"/>
          <w:lang w:val="en-GB"/>
        </w:rPr>
        <w:t>.</w:t>
      </w:r>
    </w:p>
    <w:tbl>
      <w:tblPr>
        <w:tblW w:w="84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7"/>
      </w:tblGrid>
      <w:tr w:rsidR="00CE2C39" w:rsidTr="00CE2C39">
        <w:trPr>
          <w:trHeight w:val="907"/>
        </w:trPr>
        <w:tc>
          <w:tcPr>
            <w:tcW w:w="8457" w:type="dxa"/>
          </w:tcPr>
          <w:p w:rsidR="00CE2C39" w:rsidRPr="00CE2C39" w:rsidRDefault="00CE2C39" w:rsidP="00CE2C39">
            <w:pPr>
              <w:pStyle w:val="2"/>
              <w:widowControl/>
              <w:numPr>
                <w:ilvl w:val="1"/>
                <w:numId w:val="0"/>
              </w:numPr>
              <w:tabs>
                <w:tab w:val="left" w:pos="432"/>
                <w:tab w:val="left" w:pos="576"/>
              </w:tabs>
              <w:spacing w:before="0" w:after="180" w:line="240" w:lineRule="auto"/>
              <w:ind w:left="576" w:hanging="576"/>
              <w:jc w:val="left"/>
              <w:rPr>
                <w:rFonts w:ascii="Times New Roman" w:hAnsi="Times New Roman" w:cs="Times New Roman"/>
                <w:b w:val="0"/>
                <w:bCs w:val="0"/>
                <w:sz w:val="20"/>
                <w:szCs w:val="20"/>
              </w:rPr>
            </w:pPr>
            <w:r w:rsidRPr="00CE2C39">
              <w:rPr>
                <w:rFonts w:ascii="Times New Roman" w:hAnsi="Times New Roman" w:cs="Times New Roman"/>
                <w:b w:val="0"/>
                <w:bCs w:val="0"/>
                <w:sz w:val="20"/>
                <w:szCs w:val="20"/>
                <w:u w:val="single"/>
              </w:rPr>
              <w:t>Issue 3-3-1: [Case 1] Explicit and implicit association</w:t>
            </w:r>
            <w:r w:rsidRPr="00CE2C39">
              <w:rPr>
                <w:rFonts w:ascii="Times New Roman" w:hAnsi="Times New Roman" w:cs="Times New Roman"/>
                <w:b w:val="0"/>
                <w:bCs w:val="0"/>
                <w:sz w:val="20"/>
                <w:szCs w:val="20"/>
              </w:rPr>
              <w:t xml:space="preserve">  </w:t>
            </w:r>
          </w:p>
          <w:p w:rsidR="00CE2C39" w:rsidRPr="00CE2C39" w:rsidRDefault="00CE2C39" w:rsidP="00CE2C39">
            <w:pPr>
              <w:spacing w:afterLines="50" w:after="156"/>
              <w:ind w:leftChars="200" w:left="420"/>
              <w:rPr>
                <w:rFonts w:ascii="Times New Roman" w:hAnsi="Times New Roman" w:cs="Times New Roman"/>
                <w:sz w:val="20"/>
                <w:szCs w:val="20"/>
              </w:rPr>
            </w:pPr>
            <w:r w:rsidRPr="00CE2C39">
              <w:rPr>
                <w:rFonts w:ascii="Times New Roman" w:hAnsi="Times New Roman" w:cs="Times New Roman"/>
                <w:b/>
                <w:sz w:val="20"/>
                <w:szCs w:val="20"/>
              </w:rPr>
              <w:t>&lt; Agreement &gt;</w:t>
            </w:r>
            <w:r w:rsidRPr="00CE2C39">
              <w:rPr>
                <w:rFonts w:ascii="Times New Roman" w:hAnsi="Times New Roman" w:cs="Times New Roman"/>
                <w:sz w:val="20"/>
                <w:szCs w:val="20"/>
              </w:rPr>
              <w:t xml:space="preserve">:  </w:t>
            </w:r>
          </w:p>
          <w:p w:rsidR="00CE2C39" w:rsidRPr="00CE2C39" w:rsidRDefault="00CE2C39" w:rsidP="00CE2C39">
            <w:pPr>
              <w:pStyle w:val="a7"/>
              <w:numPr>
                <w:ilvl w:val="0"/>
                <w:numId w:val="42"/>
              </w:numPr>
              <w:contextualSpacing w:val="0"/>
              <w:rPr>
                <w:sz w:val="20"/>
                <w:szCs w:val="20"/>
                <w:lang w:eastAsia="zh-CN"/>
              </w:rPr>
            </w:pPr>
            <w:r w:rsidRPr="00CE2C39">
              <w:rPr>
                <w:sz w:val="20"/>
                <w:szCs w:val="20"/>
                <w:lang w:eastAsia="zh-CN"/>
              </w:rPr>
              <w:t xml:space="preserve">RAN4 to focus on high-level issue and discuss whether to </w:t>
            </w:r>
            <w:r w:rsidRPr="00CE2C39">
              <w:rPr>
                <w:bCs/>
                <w:sz w:val="20"/>
                <w:szCs w:val="20"/>
                <w:lang w:eastAsia="zh-CN"/>
              </w:rPr>
              <w:t>consider implicit association of intra-frequency layers with Pre-MG?</w:t>
            </w:r>
          </w:p>
          <w:p w:rsidR="00CE2C39" w:rsidRPr="00CE2C39" w:rsidRDefault="00CE2C39" w:rsidP="00CE2C39">
            <w:pPr>
              <w:pStyle w:val="a7"/>
              <w:numPr>
                <w:ilvl w:val="1"/>
                <w:numId w:val="42"/>
              </w:numPr>
              <w:contextualSpacing w:val="0"/>
              <w:rPr>
                <w:sz w:val="20"/>
                <w:szCs w:val="20"/>
                <w:lang w:eastAsia="zh-CN"/>
              </w:rPr>
            </w:pPr>
            <w:r w:rsidRPr="00CE2C39">
              <w:rPr>
                <w:sz w:val="20"/>
                <w:szCs w:val="20"/>
                <w:lang w:eastAsia="zh-CN"/>
              </w:rPr>
              <w:t xml:space="preserve">Option 1: </w:t>
            </w:r>
            <w:r w:rsidRPr="00CE2C39">
              <w:rPr>
                <w:bCs/>
                <w:sz w:val="20"/>
                <w:szCs w:val="20"/>
                <w:lang w:eastAsia="zh-CN"/>
              </w:rPr>
              <w:t>RAN4 shall not define implicit association of intra-frequency layers with Pre-MG (RAN4 to extend the explicit association from Rel-17 MGE for defining Case 1 requirements)</w:t>
            </w:r>
            <w:r w:rsidRPr="00CE2C39">
              <w:rPr>
                <w:sz w:val="20"/>
                <w:szCs w:val="20"/>
                <w:lang w:eastAsia="zh-CN"/>
              </w:rPr>
              <w:t>.</w:t>
            </w:r>
          </w:p>
          <w:p w:rsidR="00CE2C39" w:rsidRPr="00CE2C39" w:rsidRDefault="00CE2C39" w:rsidP="00CE2C39">
            <w:pPr>
              <w:pStyle w:val="a7"/>
              <w:numPr>
                <w:ilvl w:val="1"/>
                <w:numId w:val="42"/>
              </w:numPr>
              <w:contextualSpacing w:val="0"/>
              <w:rPr>
                <w:sz w:val="20"/>
                <w:szCs w:val="20"/>
                <w:lang w:eastAsia="zh-CN"/>
              </w:rPr>
            </w:pPr>
            <w:r w:rsidRPr="00CE2C39">
              <w:rPr>
                <w:sz w:val="20"/>
                <w:szCs w:val="20"/>
                <w:lang w:eastAsia="zh-CN"/>
              </w:rPr>
              <w:t xml:space="preserve">Option 2: </w:t>
            </w:r>
            <w:r w:rsidRPr="00CE2C39">
              <w:rPr>
                <w:bCs/>
                <w:sz w:val="20"/>
                <w:szCs w:val="20"/>
                <w:lang w:eastAsia="zh-CN"/>
              </w:rPr>
              <w:t>RAN4 shall consider defining implicit association of intra-frequency layers with Pre-MG.</w:t>
            </w:r>
          </w:p>
          <w:p w:rsidR="00CE2C39" w:rsidRPr="00CE2C39" w:rsidRDefault="00CE2C39" w:rsidP="00CE2C39">
            <w:pPr>
              <w:pStyle w:val="2"/>
              <w:widowControl/>
              <w:numPr>
                <w:ilvl w:val="1"/>
                <w:numId w:val="0"/>
              </w:numPr>
              <w:tabs>
                <w:tab w:val="left" w:pos="432"/>
                <w:tab w:val="left" w:pos="576"/>
              </w:tabs>
              <w:spacing w:before="180" w:after="180" w:line="240" w:lineRule="auto"/>
              <w:ind w:left="576" w:hanging="576"/>
              <w:jc w:val="left"/>
              <w:rPr>
                <w:rFonts w:ascii="Times New Roman" w:hAnsi="Times New Roman" w:cs="Times New Roman"/>
                <w:b w:val="0"/>
                <w:bCs w:val="0"/>
                <w:sz w:val="20"/>
                <w:szCs w:val="20"/>
              </w:rPr>
            </w:pPr>
            <w:r w:rsidRPr="00CE2C39">
              <w:rPr>
                <w:rFonts w:ascii="Times New Roman" w:hAnsi="Times New Roman" w:cs="Times New Roman"/>
                <w:b w:val="0"/>
                <w:bCs w:val="0"/>
                <w:sz w:val="20"/>
                <w:szCs w:val="20"/>
                <w:u w:val="single"/>
              </w:rPr>
              <w:t>Issue 3-3-2: [Case 1] Pre-MG association clarification</w:t>
            </w:r>
            <w:r w:rsidRPr="00CE2C39">
              <w:rPr>
                <w:rFonts w:ascii="Times New Roman" w:hAnsi="Times New Roman" w:cs="Times New Roman"/>
                <w:b w:val="0"/>
                <w:bCs w:val="0"/>
                <w:sz w:val="20"/>
                <w:szCs w:val="20"/>
              </w:rPr>
              <w:t xml:space="preserve">  </w:t>
            </w:r>
          </w:p>
          <w:p w:rsidR="00CE2C39" w:rsidRPr="00CE2C39" w:rsidRDefault="00CE2C39" w:rsidP="00CE2C39">
            <w:pPr>
              <w:spacing w:afterLines="50" w:after="156"/>
              <w:ind w:leftChars="200" w:left="420"/>
              <w:rPr>
                <w:rFonts w:ascii="Times New Roman" w:hAnsi="Times New Roman" w:cs="Times New Roman"/>
                <w:sz w:val="20"/>
                <w:szCs w:val="20"/>
              </w:rPr>
            </w:pPr>
            <w:r w:rsidRPr="00CE2C39">
              <w:rPr>
                <w:rFonts w:ascii="Times New Roman" w:hAnsi="Times New Roman" w:cs="Times New Roman"/>
                <w:b/>
                <w:sz w:val="20"/>
                <w:szCs w:val="20"/>
              </w:rPr>
              <w:t>&lt; Wayforward &gt;</w:t>
            </w:r>
            <w:r w:rsidRPr="00CE2C39">
              <w:rPr>
                <w:rFonts w:ascii="Times New Roman" w:hAnsi="Times New Roman" w:cs="Times New Roman"/>
                <w:sz w:val="20"/>
                <w:szCs w:val="20"/>
              </w:rPr>
              <w:t xml:space="preserve">:  </w:t>
            </w:r>
          </w:p>
          <w:p w:rsidR="00CE2C39" w:rsidRPr="00CE2C39" w:rsidRDefault="00CE2C39" w:rsidP="009F5E69">
            <w:pPr>
              <w:pStyle w:val="a7"/>
              <w:numPr>
                <w:ilvl w:val="0"/>
                <w:numId w:val="42"/>
              </w:numPr>
              <w:contextualSpacing w:val="0"/>
              <w:rPr>
                <w:sz w:val="20"/>
                <w:szCs w:val="20"/>
                <w:lang w:eastAsia="zh-CN"/>
              </w:rPr>
            </w:pPr>
            <w:r w:rsidRPr="00CE2C39">
              <w:rPr>
                <w:sz w:val="20"/>
                <w:szCs w:val="20"/>
                <w:lang w:eastAsia="zh-CN"/>
              </w:rPr>
              <w:t>FFS: When NW configures a Pre-MG and a Type-2 MG in ConMGs, RAN4 to further study whether to clarify the UE's behaviour in the following scenarios:</w:t>
            </w:r>
          </w:p>
          <w:p w:rsidR="00CE2C39" w:rsidRPr="00CE2C39" w:rsidRDefault="00CE2C39" w:rsidP="009F5E69">
            <w:pPr>
              <w:pStyle w:val="a7"/>
              <w:numPr>
                <w:ilvl w:val="1"/>
                <w:numId w:val="42"/>
              </w:numPr>
              <w:contextualSpacing w:val="0"/>
              <w:rPr>
                <w:sz w:val="20"/>
                <w:szCs w:val="20"/>
                <w:lang w:eastAsia="zh-CN"/>
              </w:rPr>
            </w:pPr>
            <w:r w:rsidRPr="00CE2C39">
              <w:rPr>
                <w:sz w:val="20"/>
                <w:szCs w:val="20"/>
                <w:lang w:eastAsia="zh-CN"/>
              </w:rPr>
              <w:t>FFS: the MO associated with an activated Pre-MG which doesn’t need to be measured within gap</w:t>
            </w:r>
          </w:p>
          <w:p w:rsidR="00CE2C39" w:rsidRPr="00CE2C39" w:rsidRDefault="00CE2C39" w:rsidP="009F5E69">
            <w:pPr>
              <w:pStyle w:val="a7"/>
              <w:numPr>
                <w:ilvl w:val="1"/>
                <w:numId w:val="42"/>
              </w:numPr>
              <w:contextualSpacing w:val="0"/>
              <w:rPr>
                <w:lang w:eastAsia="zh-CN"/>
              </w:rPr>
            </w:pPr>
            <w:r w:rsidRPr="00CE2C39">
              <w:rPr>
                <w:sz w:val="20"/>
                <w:szCs w:val="20"/>
                <w:lang w:eastAsia="zh-CN"/>
              </w:rPr>
              <w:t>FFS: the MO associated with a deactivated Pre-MG</w:t>
            </w:r>
          </w:p>
        </w:tc>
      </w:tr>
    </w:tbl>
    <w:p w:rsidR="00E55094" w:rsidRDefault="00892911" w:rsidP="00A938DB">
      <w:pPr>
        <w:spacing w:after="240"/>
        <w:rPr>
          <w:rFonts w:ascii="Times New Roman" w:hAnsi="Times New Roman" w:cs="Times New Roman"/>
          <w:sz w:val="20"/>
          <w:szCs w:val="20"/>
          <w:lang w:val="en-GB"/>
        </w:rPr>
      </w:pPr>
      <w:r>
        <w:rPr>
          <w:rFonts w:ascii="Times New Roman" w:hAnsi="Times New Roman" w:cs="Times New Roman"/>
          <w:sz w:val="20"/>
          <w:szCs w:val="20"/>
          <w:lang w:val="en-GB"/>
        </w:rPr>
        <w:t>We do not support the enhancement of implicit association of intra-frequency layer with pre-MG, as it will cause the inconsistence between NW configuration and UE assumption.</w:t>
      </w:r>
      <w:r w:rsidR="005667A5">
        <w:rPr>
          <w:rFonts w:ascii="Times New Roman" w:hAnsi="Times New Roman" w:cs="Times New Roman"/>
          <w:sz w:val="20"/>
          <w:szCs w:val="20"/>
          <w:lang w:val="en-GB"/>
        </w:rPr>
        <w:t xml:space="preserve"> In addition, once the association between pre-MG and MO(s) is configured by NW, the change of pre-MG state does not </w:t>
      </w:r>
      <w:r w:rsidR="005667A5">
        <w:rPr>
          <w:rFonts w:ascii="Times New Roman" w:hAnsi="Times New Roman" w:cs="Times New Roman"/>
          <w:sz w:val="20"/>
          <w:szCs w:val="20"/>
          <w:lang w:val="en-GB"/>
        </w:rPr>
        <w:lastRenderedPageBreak/>
        <w:t xml:space="preserve">change gap association. </w:t>
      </w:r>
    </w:p>
    <w:p w:rsidR="005667A5" w:rsidRPr="005667A5" w:rsidRDefault="005667A5" w:rsidP="00A938D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335825">
        <w:rPr>
          <w:rFonts w:ascii="Times New Roman" w:hAnsi="Times New Roman" w:cs="Times New Roman"/>
          <w:b/>
          <w:sz w:val="20"/>
          <w:szCs w:val="20"/>
          <w:lang w:val="en-GB"/>
        </w:rPr>
        <w:t xml:space="preserve">: </w:t>
      </w:r>
      <w:r w:rsidRPr="005667A5">
        <w:rPr>
          <w:rFonts w:ascii="Times New Roman" w:hAnsi="Times New Roman" w:cs="Times New Roman"/>
          <w:b/>
          <w:sz w:val="20"/>
          <w:szCs w:val="20"/>
          <w:lang w:val="en-GB"/>
        </w:rPr>
        <w:t>RAN4 shall not define implicit association of intra-frequency layers with Pre-MG</w:t>
      </w:r>
      <w:r>
        <w:rPr>
          <w:rFonts w:ascii="Times New Roman" w:hAnsi="Times New Roman" w:cs="Times New Roman"/>
          <w:b/>
          <w:sz w:val="20"/>
          <w:szCs w:val="20"/>
          <w:lang w:val="en-GB"/>
        </w:rPr>
        <w:t>.</w:t>
      </w:r>
    </w:p>
    <w:p w:rsidR="005667A5" w:rsidRDefault="005667A5" w:rsidP="00A938DB">
      <w:pPr>
        <w:spacing w:after="240"/>
        <w:rPr>
          <w:rFonts w:ascii="Times New Roman" w:hAnsi="Times New Roman" w:cs="Times New Roman"/>
          <w:sz w:val="20"/>
          <w:szCs w:val="20"/>
          <w:lang w:val="en-GB"/>
        </w:rPr>
      </w:pPr>
      <w:r>
        <w:rPr>
          <w:rFonts w:ascii="Times New Roman" w:hAnsi="Times New Roman" w:cs="Times New Roman"/>
          <w:sz w:val="20"/>
          <w:szCs w:val="20"/>
          <w:lang w:val="en-GB"/>
        </w:rPr>
        <w:t>Regarding the UE behaviour when the MO associated with an activated pre-MG which doesn’t need to be measured within gap, in our understanding, the activated pre-MG associated to a MO does not mean  the MO should be always measured within gap. If UE is required a gap to measure the MO, then the associated activated pre-MG is used for the measurement. Otherwise, the activated pre-MG will not be used for the MO measurement. In addition, RAN4 defined the intra-/interfrequency measurement requirements with/without gap respectively. If the MO is measured with gap, then the requirement with gap is applied, otherwise, the requirement without gap is applied.</w:t>
      </w:r>
    </w:p>
    <w:p w:rsidR="005667A5" w:rsidRPr="00E55094" w:rsidRDefault="005667A5" w:rsidP="00A938DB">
      <w:pPr>
        <w:spacing w:after="240"/>
        <w:rPr>
          <w:rFonts w:ascii="Times New Roman" w:hAnsi="Times New Roman" w:cs="Times New Roman"/>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F255DC">
        <w:rPr>
          <w:rFonts w:ascii="Times New Roman" w:hAnsi="Times New Roman" w:cs="Times New Roman"/>
          <w:b/>
          <w:sz w:val="20"/>
          <w:szCs w:val="20"/>
          <w:lang w:val="en-GB"/>
        </w:rPr>
        <w:t xml:space="preserve">: </w:t>
      </w:r>
      <w:r w:rsidR="00752807" w:rsidRPr="00752807">
        <w:rPr>
          <w:rFonts w:ascii="Times New Roman" w:hAnsi="Times New Roman" w:cs="Times New Roman"/>
          <w:b/>
          <w:sz w:val="20"/>
          <w:szCs w:val="20"/>
          <w:lang w:val="en-GB"/>
        </w:rPr>
        <w:t>When NW configures a Pre-MG and a Type-2 MG in ConMGs,</w:t>
      </w:r>
      <w:r w:rsidR="00752807">
        <w:rPr>
          <w:rFonts w:ascii="Times New Roman" w:hAnsi="Times New Roman" w:cs="Times New Roman"/>
          <w:b/>
          <w:sz w:val="20"/>
          <w:szCs w:val="20"/>
          <w:lang w:val="en-GB"/>
        </w:rPr>
        <w:t xml:space="preserve"> if </w:t>
      </w:r>
      <w:r w:rsidR="00752807" w:rsidRPr="00752807">
        <w:rPr>
          <w:rFonts w:ascii="Times New Roman" w:hAnsi="Times New Roman" w:cs="Times New Roman"/>
          <w:b/>
          <w:sz w:val="20"/>
          <w:szCs w:val="20"/>
          <w:lang w:val="en-GB"/>
        </w:rPr>
        <w:t>the MO associated with an activated Pre-MG which doesn’t need to be measured within gap</w:t>
      </w:r>
      <w:r w:rsidR="00752807">
        <w:rPr>
          <w:rFonts w:ascii="Times New Roman" w:hAnsi="Times New Roman" w:cs="Times New Roman"/>
          <w:b/>
          <w:sz w:val="20"/>
          <w:szCs w:val="20"/>
          <w:lang w:val="en-GB"/>
        </w:rPr>
        <w:t>, the UE measures the MO without the activated pre-MG</w:t>
      </w:r>
      <w:r w:rsidRPr="007422A0">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23587">
        <w:rPr>
          <w:rFonts w:ascii="Times New Roman" w:hAnsi="Times New Roman" w:cs="Times New Roman"/>
          <w:sz w:val="20"/>
          <w:szCs w:val="20"/>
        </w:rPr>
        <w:t>RRM</w:t>
      </w:r>
      <w:r>
        <w:rPr>
          <w:rFonts w:ascii="Times New Roman" w:hAnsi="Times New Roman" w:cs="Times New Roman"/>
          <w:sz w:val="20"/>
          <w:szCs w:val="20"/>
        </w:rPr>
        <w:t xml:space="preserve"> requirements for the joint configuration of </w:t>
      </w:r>
      <w:r w:rsidR="00B15332">
        <w:rPr>
          <w:rFonts w:ascii="Times New Roman" w:hAnsi="Times New Roman" w:cs="Times New Roman"/>
          <w:sz w:val="20"/>
          <w:szCs w:val="20"/>
        </w:rPr>
        <w:t xml:space="preserve">pre-configured MG and </w:t>
      </w:r>
      <w:r>
        <w:rPr>
          <w:rFonts w:ascii="Times New Roman" w:hAnsi="Times New Roman" w:cs="Times New Roman"/>
          <w:sz w:val="20"/>
          <w:szCs w:val="20"/>
        </w:rPr>
        <w:t xml:space="preserve">concurrent gap,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123587" w:rsidRPr="00B37C0A" w:rsidRDefault="00123587" w:rsidP="001235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7422A0">
        <w:rPr>
          <w:rFonts w:ascii="Times New Roman" w:hAnsi="Times New Roman" w:cs="Times New Roman"/>
          <w:b/>
          <w:sz w:val="20"/>
          <w:szCs w:val="20"/>
          <w:lang w:val="en-GB"/>
        </w:rPr>
        <w:t xml:space="preserve">he terminology of ‘component gap’ </w:t>
      </w:r>
      <w:r>
        <w:rPr>
          <w:rFonts w:ascii="Times New Roman" w:hAnsi="Times New Roman" w:cs="Times New Roman"/>
          <w:b/>
          <w:sz w:val="20"/>
          <w:szCs w:val="20"/>
          <w:lang w:val="en-GB"/>
        </w:rPr>
        <w:t>is</w:t>
      </w:r>
      <w:r w:rsidRPr="007422A0">
        <w:rPr>
          <w:rFonts w:ascii="Times New Roman" w:hAnsi="Times New Roman" w:cs="Times New Roman"/>
          <w:b/>
          <w:sz w:val="20"/>
          <w:szCs w:val="20"/>
          <w:lang w:val="en-GB"/>
        </w:rPr>
        <w:t xml:space="preserve"> used </w:t>
      </w:r>
      <w:r>
        <w:rPr>
          <w:rFonts w:ascii="Times New Roman" w:hAnsi="Times New Roman" w:cs="Times New Roman"/>
          <w:b/>
          <w:sz w:val="20"/>
          <w:szCs w:val="20"/>
          <w:lang w:val="en-GB"/>
        </w:rPr>
        <w:t xml:space="preserve">which represent </w:t>
      </w:r>
      <w:r w:rsidRPr="007422A0">
        <w:rPr>
          <w:rFonts w:ascii="Times New Roman" w:hAnsi="Times New Roman" w:cs="Times New Roman"/>
          <w:b/>
          <w:sz w:val="20"/>
          <w:szCs w:val="20"/>
          <w:lang w:val="en-GB"/>
        </w:rPr>
        <w:t xml:space="preserve">one of MG </w:t>
      </w:r>
      <w:r>
        <w:rPr>
          <w:rFonts w:ascii="Times New Roman" w:hAnsi="Times New Roman" w:cs="Times New Roman"/>
          <w:b/>
          <w:sz w:val="20"/>
          <w:szCs w:val="20"/>
          <w:lang w:val="en-GB"/>
        </w:rPr>
        <w:t xml:space="preserve">pattern </w:t>
      </w:r>
      <w:r w:rsidRPr="007422A0">
        <w:rPr>
          <w:rFonts w:ascii="Times New Roman" w:hAnsi="Times New Roman" w:cs="Times New Roman"/>
          <w:b/>
          <w:sz w:val="20"/>
          <w:szCs w:val="20"/>
          <w:lang w:val="en-GB"/>
        </w:rPr>
        <w:t xml:space="preserve">configured </w:t>
      </w:r>
      <w:r>
        <w:rPr>
          <w:rFonts w:ascii="Times New Roman" w:hAnsi="Times New Roman" w:cs="Times New Roman"/>
          <w:b/>
          <w:sz w:val="20"/>
          <w:szCs w:val="20"/>
          <w:lang w:val="en-GB"/>
        </w:rPr>
        <w:t>in</w:t>
      </w:r>
      <w:r w:rsidRPr="007422A0">
        <w:rPr>
          <w:rFonts w:ascii="Times New Roman" w:hAnsi="Times New Roman" w:cs="Times New Roman"/>
          <w:b/>
          <w:sz w:val="20"/>
          <w:szCs w:val="20"/>
          <w:lang w:val="en-GB"/>
        </w:rPr>
        <w:t xml:space="preserve"> concurrent MG</w:t>
      </w:r>
      <w:r>
        <w:rPr>
          <w:rFonts w:ascii="Times New Roman" w:hAnsi="Times New Roman" w:cs="Times New Roman"/>
          <w:b/>
          <w:sz w:val="20"/>
          <w:szCs w:val="20"/>
          <w:lang w:val="en-GB"/>
        </w:rPr>
        <w:t>s</w:t>
      </w:r>
      <w:r w:rsidRPr="007422A0">
        <w:rPr>
          <w:rFonts w:ascii="Times New Roman" w:hAnsi="Times New Roman" w:cs="Times New Roman"/>
          <w:b/>
          <w:sz w:val="20"/>
          <w:szCs w:val="20"/>
          <w:lang w:val="en-GB"/>
        </w:rPr>
        <w:t>, and the component gap can be Type-1 MG, Type-2 MG, Pre-MG or NCSG.</w:t>
      </w:r>
    </w:p>
    <w:p w:rsidR="00123587" w:rsidRPr="0022457F" w:rsidRDefault="00123587" w:rsidP="001235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combination of Pre-MG + Pre-MG in an FR</w:t>
      </w:r>
      <w:r w:rsidRPr="007422A0">
        <w:rPr>
          <w:rFonts w:ascii="Times New Roman" w:hAnsi="Times New Roman" w:cs="Times New Roman"/>
          <w:b/>
          <w:sz w:val="20"/>
          <w:szCs w:val="20"/>
          <w:lang w:val="en-GB"/>
        </w:rPr>
        <w:t>.</w:t>
      </w:r>
    </w:p>
    <w:p w:rsidR="00123587" w:rsidRPr="006546C9" w:rsidRDefault="00123587" w:rsidP="001235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Pr="006546C9">
        <w:rPr>
          <w:rFonts w:ascii="Times New Roman" w:hAnsi="Times New Roman" w:cs="Times New Roman"/>
          <w:b/>
          <w:sz w:val="20"/>
          <w:szCs w:val="20"/>
          <w:lang w:val="en-GB"/>
        </w:rPr>
        <w:t>If UE supports both Rel-17 Pre-MG and concurrent MG, the combination of pre-MG + Type-2 MG and pre-MG +pre-MG can be supported without any additional UE capability.</w:t>
      </w:r>
    </w:p>
    <w:p w:rsidR="00C36D3A" w:rsidRDefault="00C36D3A" w:rsidP="00C36D3A">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 xml:space="preserve">bservation 1: </w:t>
      </w:r>
      <w:r w:rsidRPr="008A0C13">
        <w:rPr>
          <w:rFonts w:ascii="Times New Roman" w:hAnsi="Times New Roman" w:cs="Times New Roman"/>
          <w:b/>
          <w:sz w:val="20"/>
          <w:szCs w:val="20"/>
          <w:lang w:val="en-GB"/>
        </w:rPr>
        <w:t>The non-simultaneous multiple pre-MGs activation/deactivation, e.g. before the completion of the first pre-MG (de)activation the second pre-MG is (de)activated, is not a valid case</w:t>
      </w:r>
      <w:r>
        <w:rPr>
          <w:rFonts w:ascii="Times New Roman" w:hAnsi="Times New Roman" w:cs="Times New Roman"/>
          <w:b/>
          <w:sz w:val="20"/>
          <w:szCs w:val="20"/>
          <w:lang w:val="en-GB"/>
        </w:rPr>
        <w:t>.</w:t>
      </w:r>
    </w:p>
    <w:p w:rsidR="00C36D3A" w:rsidRDefault="00C36D3A" w:rsidP="00C36D3A">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For pre-MG + pre-MG case</w:t>
      </w:r>
      <w:r w:rsidRPr="006546C9">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states</w:t>
      </w:r>
      <w:r w:rsidRPr="006546C9">
        <w:rPr>
          <w:rFonts w:ascii="Times New Roman" w:hAnsi="Times New Roman" w:cs="Times New Roman"/>
          <w:b/>
          <w:sz w:val="20"/>
          <w:szCs w:val="20"/>
          <w:lang w:val="en-GB"/>
        </w:rPr>
        <w:t xml:space="preserve"> of </w:t>
      </w:r>
      <w:r>
        <w:rPr>
          <w:rFonts w:ascii="Times New Roman" w:hAnsi="Times New Roman" w:cs="Times New Roman"/>
          <w:b/>
          <w:sz w:val="20"/>
          <w:szCs w:val="20"/>
          <w:lang w:val="en-GB"/>
        </w:rPr>
        <w:t xml:space="preserve">multiple </w:t>
      </w:r>
      <w:r w:rsidRPr="006546C9">
        <w:rPr>
          <w:rFonts w:ascii="Times New Roman" w:hAnsi="Times New Roman" w:cs="Times New Roman"/>
          <w:b/>
          <w:sz w:val="20"/>
          <w:szCs w:val="20"/>
          <w:lang w:val="en-GB"/>
        </w:rPr>
        <w:t>pre-MG</w:t>
      </w:r>
      <w:r>
        <w:rPr>
          <w:rFonts w:ascii="Times New Roman" w:hAnsi="Times New Roman" w:cs="Times New Roman"/>
          <w:b/>
          <w:sz w:val="20"/>
          <w:szCs w:val="20"/>
          <w:lang w:val="en-GB"/>
        </w:rPr>
        <w:t>s</w:t>
      </w:r>
      <w:r w:rsidRPr="006546C9">
        <w:rPr>
          <w:rFonts w:ascii="Times New Roman" w:hAnsi="Times New Roman" w:cs="Times New Roman"/>
          <w:b/>
          <w:sz w:val="20"/>
          <w:szCs w:val="20"/>
          <w:lang w:val="en-GB"/>
        </w:rPr>
        <w:t xml:space="preserve"> </w:t>
      </w:r>
      <w:r>
        <w:rPr>
          <w:rFonts w:ascii="Times New Roman" w:hAnsi="Times New Roman" w:cs="Times New Roman"/>
          <w:b/>
          <w:sz w:val="20"/>
          <w:szCs w:val="20"/>
          <w:lang w:val="en-GB"/>
        </w:rPr>
        <w:t>are activated/deactivated simultaneously</w:t>
      </w:r>
      <w:r w:rsidRPr="006546C9">
        <w:rPr>
          <w:rFonts w:ascii="Times New Roman" w:hAnsi="Times New Roman" w:cs="Times New Roman"/>
          <w:b/>
          <w:sz w:val="20"/>
          <w:szCs w:val="20"/>
          <w:lang w:val="en-GB"/>
        </w:rPr>
        <w:t>.</w:t>
      </w:r>
    </w:p>
    <w:p w:rsidR="00C36D3A" w:rsidRPr="008A0C13" w:rsidRDefault="00C36D3A" w:rsidP="00C36D3A">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sidRPr="008A0C13">
        <w:rPr>
          <w:rFonts w:ascii="Times New Roman" w:hAnsi="Times New Roman" w:cs="Times New Roman"/>
          <w:b/>
          <w:sz w:val="20"/>
          <w:szCs w:val="20"/>
          <w:lang w:val="en-GB"/>
        </w:rPr>
        <w:t xml:space="preserve">RAN4 shall reuse the Pre-MG (de)activation delay </w:t>
      </w:r>
      <w:r>
        <w:rPr>
          <w:rFonts w:ascii="Times New Roman" w:hAnsi="Times New Roman" w:cs="Times New Roman"/>
          <w:b/>
          <w:sz w:val="20"/>
          <w:szCs w:val="20"/>
          <w:lang w:val="en-GB"/>
        </w:rPr>
        <w:t>defined in</w:t>
      </w:r>
      <w:r w:rsidRPr="008A0C13">
        <w:rPr>
          <w:rFonts w:ascii="Times New Roman" w:hAnsi="Times New Roman" w:cs="Times New Roman"/>
          <w:b/>
          <w:sz w:val="20"/>
          <w:szCs w:val="20"/>
          <w:lang w:val="en-GB"/>
        </w:rPr>
        <w:t xml:space="preserve"> Rel-17 </w:t>
      </w:r>
      <w:r>
        <w:rPr>
          <w:rFonts w:ascii="Times New Roman" w:hAnsi="Times New Roman" w:cs="Times New Roman"/>
          <w:b/>
          <w:sz w:val="20"/>
          <w:szCs w:val="20"/>
          <w:lang w:val="en-GB"/>
        </w:rPr>
        <w:t>for</w:t>
      </w:r>
      <w:r w:rsidRPr="008A0C13">
        <w:rPr>
          <w:rFonts w:ascii="Times New Roman" w:hAnsi="Times New Roman" w:cs="Times New Roman"/>
          <w:b/>
          <w:sz w:val="20"/>
          <w:szCs w:val="20"/>
          <w:lang w:val="en-GB"/>
        </w:rPr>
        <w:t xml:space="preserve"> the (de)activation procedures of multiple pre-MG</w:t>
      </w:r>
      <w:r>
        <w:rPr>
          <w:rFonts w:ascii="Times New Roman" w:hAnsi="Times New Roman" w:cs="Times New Roman"/>
          <w:b/>
          <w:sz w:val="20"/>
          <w:szCs w:val="20"/>
          <w:lang w:val="en-GB"/>
        </w:rPr>
        <w:t>s</w:t>
      </w:r>
      <w:r w:rsidRPr="006546C9">
        <w:rPr>
          <w:rFonts w:ascii="Times New Roman" w:hAnsi="Times New Roman" w:cs="Times New Roman"/>
          <w:b/>
          <w:sz w:val="20"/>
          <w:szCs w:val="20"/>
          <w:lang w:val="en-GB"/>
        </w:rPr>
        <w:t>.</w:t>
      </w:r>
      <w:r>
        <w:rPr>
          <w:rFonts w:ascii="Times New Roman" w:hAnsi="Times New Roman" w:cs="Times New Roman"/>
          <w:b/>
          <w:sz w:val="20"/>
          <w:szCs w:val="20"/>
          <w:lang w:val="en-GB"/>
        </w:rPr>
        <w:t xml:space="preserve"> If additional event occur during the multiple pre-MGs </w:t>
      </w:r>
      <w:r w:rsidRPr="008A0C13">
        <w:rPr>
          <w:rFonts w:ascii="Times New Roman" w:hAnsi="Times New Roman" w:cs="Times New Roman"/>
          <w:b/>
          <w:sz w:val="20"/>
          <w:szCs w:val="20"/>
          <w:lang w:val="en-GB"/>
        </w:rPr>
        <w:t>(de)activation procedures</w:t>
      </w:r>
      <w:r>
        <w:rPr>
          <w:rFonts w:ascii="Times New Roman" w:hAnsi="Times New Roman" w:cs="Times New Roman"/>
          <w:b/>
          <w:sz w:val="20"/>
          <w:szCs w:val="20"/>
          <w:lang w:val="en-GB"/>
        </w:rPr>
        <w:t>, additional delay is expected.</w:t>
      </w:r>
    </w:p>
    <w:p w:rsidR="00A938DB" w:rsidRDefault="00C36D3A" w:rsidP="00A938D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335825">
        <w:rPr>
          <w:rFonts w:ascii="Times New Roman" w:hAnsi="Times New Roman" w:cs="Times New Roman"/>
          <w:b/>
          <w:sz w:val="20"/>
          <w:szCs w:val="20"/>
          <w:lang w:val="en-GB"/>
        </w:rPr>
        <w:t xml:space="preserve">: When the pre-configured MG activation procedure is overlapped with one of </w:t>
      </w:r>
      <w:r w:rsidRPr="0089303E">
        <w:rPr>
          <w:rFonts w:ascii="Times New Roman" w:hAnsi="Times New Roman" w:cs="Times New Roman"/>
          <w:b/>
          <w:sz w:val="20"/>
          <w:szCs w:val="20"/>
          <w:lang w:val="en-GB"/>
        </w:rPr>
        <w:t xml:space="preserve">concurrent gap occasion, the </w:t>
      </w:r>
      <w:r w:rsidRPr="00276796">
        <w:rPr>
          <w:rFonts w:ascii="Times New Roman" w:hAnsi="Times New Roman" w:cs="Times New Roman"/>
          <w:b/>
          <w:sz w:val="20"/>
          <w:szCs w:val="20"/>
          <w:lang w:val="en-GB"/>
        </w:rPr>
        <w:t xml:space="preserve">UE </w:t>
      </w:r>
      <w:r>
        <w:rPr>
          <w:rFonts w:ascii="Times New Roman" w:hAnsi="Times New Roman" w:cs="Times New Roman"/>
          <w:b/>
          <w:sz w:val="20"/>
          <w:szCs w:val="20"/>
          <w:lang w:val="en-GB"/>
        </w:rPr>
        <w:t>shall</w:t>
      </w:r>
      <w:r w:rsidRPr="00276796">
        <w:rPr>
          <w:rFonts w:ascii="Times New Roman" w:hAnsi="Times New Roman" w:cs="Times New Roman"/>
          <w:b/>
          <w:sz w:val="20"/>
          <w:szCs w:val="20"/>
          <w:lang w:val="en-GB"/>
        </w:rPr>
        <w:t xml:space="preserve"> drop the measurement on the overlapped concurrent gap occasion</w:t>
      </w:r>
      <w:r>
        <w:rPr>
          <w:rFonts w:ascii="Times New Roman" w:hAnsi="Times New Roman" w:cs="Times New Roman"/>
          <w:b/>
          <w:sz w:val="20"/>
          <w:szCs w:val="20"/>
          <w:lang w:val="en-GB"/>
        </w:rPr>
        <w:t>.</w:t>
      </w:r>
    </w:p>
    <w:p w:rsidR="00C36D3A" w:rsidRPr="005667A5" w:rsidRDefault="00C36D3A" w:rsidP="00C36D3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335825">
        <w:rPr>
          <w:rFonts w:ascii="Times New Roman" w:hAnsi="Times New Roman" w:cs="Times New Roman"/>
          <w:b/>
          <w:sz w:val="20"/>
          <w:szCs w:val="20"/>
          <w:lang w:val="en-GB"/>
        </w:rPr>
        <w:t xml:space="preserve">: </w:t>
      </w:r>
      <w:r w:rsidRPr="005667A5">
        <w:rPr>
          <w:rFonts w:ascii="Times New Roman" w:hAnsi="Times New Roman" w:cs="Times New Roman"/>
          <w:b/>
          <w:sz w:val="20"/>
          <w:szCs w:val="20"/>
          <w:lang w:val="en-GB"/>
        </w:rPr>
        <w:t>RAN4 shall not define implicit association of intra-frequency layers with Pre-MG</w:t>
      </w:r>
      <w:r>
        <w:rPr>
          <w:rFonts w:ascii="Times New Roman" w:hAnsi="Times New Roman" w:cs="Times New Roman"/>
          <w:b/>
          <w:sz w:val="20"/>
          <w:szCs w:val="20"/>
          <w:lang w:val="en-GB"/>
        </w:rPr>
        <w:t>.</w:t>
      </w:r>
    </w:p>
    <w:p w:rsidR="00C36D3A" w:rsidRPr="00C36D3A" w:rsidRDefault="00C36D3A" w:rsidP="00A938DB">
      <w:pPr>
        <w:spacing w:after="240"/>
        <w:rPr>
          <w:rFonts w:ascii="Times New Roman" w:hAnsi="Times New Roman" w:cs="Times New Roman"/>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F255DC">
        <w:rPr>
          <w:rFonts w:ascii="Times New Roman" w:hAnsi="Times New Roman" w:cs="Times New Roman"/>
          <w:b/>
          <w:sz w:val="20"/>
          <w:szCs w:val="20"/>
          <w:lang w:val="en-GB"/>
        </w:rPr>
        <w:t xml:space="preserve">: </w:t>
      </w:r>
      <w:r w:rsidRPr="00752807">
        <w:rPr>
          <w:rFonts w:ascii="Times New Roman" w:hAnsi="Times New Roman" w:cs="Times New Roman"/>
          <w:b/>
          <w:sz w:val="20"/>
          <w:szCs w:val="20"/>
          <w:lang w:val="en-GB"/>
        </w:rPr>
        <w:t>When NW configures a Pre-MG and a Type-2 MG in ConMGs,</w:t>
      </w:r>
      <w:r>
        <w:rPr>
          <w:rFonts w:ascii="Times New Roman" w:hAnsi="Times New Roman" w:cs="Times New Roman"/>
          <w:b/>
          <w:sz w:val="20"/>
          <w:szCs w:val="20"/>
          <w:lang w:val="en-GB"/>
        </w:rPr>
        <w:t xml:space="preserve"> if </w:t>
      </w:r>
      <w:r w:rsidRPr="00752807">
        <w:rPr>
          <w:rFonts w:ascii="Times New Roman" w:hAnsi="Times New Roman" w:cs="Times New Roman"/>
          <w:b/>
          <w:sz w:val="20"/>
          <w:szCs w:val="20"/>
          <w:lang w:val="en-GB"/>
        </w:rPr>
        <w:t xml:space="preserve">the MO associated </w:t>
      </w:r>
      <w:r w:rsidRPr="00752807">
        <w:rPr>
          <w:rFonts w:ascii="Times New Roman" w:hAnsi="Times New Roman" w:cs="Times New Roman"/>
          <w:b/>
          <w:sz w:val="20"/>
          <w:szCs w:val="20"/>
          <w:lang w:val="en-GB"/>
        </w:rPr>
        <w:lastRenderedPageBreak/>
        <w:t>with an activated Pre-MG which doesn’t need to be measured within gap</w:t>
      </w:r>
      <w:r>
        <w:rPr>
          <w:rFonts w:ascii="Times New Roman" w:hAnsi="Times New Roman" w:cs="Times New Roman"/>
          <w:b/>
          <w:sz w:val="20"/>
          <w:szCs w:val="20"/>
          <w:lang w:val="en-GB"/>
        </w:rPr>
        <w:t>, the UE measures the MO without the activated pre-MG</w:t>
      </w:r>
      <w:r w:rsidRPr="007422A0">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w:t>
      </w:r>
      <w:r w:rsidR="002361C7">
        <w:rPr>
          <w:rFonts w:ascii="Times New Roman" w:hAnsi="Times New Roman" w:cs="Times New Roman"/>
          <w:sz w:val="20"/>
          <w:szCs w:val="20"/>
        </w:rPr>
        <w:t>20359</w:t>
      </w:r>
      <w:r>
        <w:rPr>
          <w:rFonts w:ascii="Times New Roman" w:hAnsi="Times New Roman" w:cs="Times New Roman"/>
          <w:sz w:val="20"/>
          <w:szCs w:val="20"/>
        </w:rPr>
        <w:tab/>
      </w:r>
      <w:r w:rsidR="002361C7" w:rsidRPr="002361C7">
        <w:rPr>
          <w:rFonts w:ascii="Times New Roman" w:hAnsi="Times New Roman" w:cs="Times New Roman"/>
          <w:sz w:val="20"/>
          <w:szCs w:val="20"/>
        </w:rPr>
        <w:t>WF on NR_MG_enh2 Part 1</w:t>
      </w:r>
      <w:r w:rsidR="00EC5D81">
        <w:rPr>
          <w:rFonts w:ascii="Times New Roman" w:hAnsi="Times New Roman" w:cs="Times New Roman"/>
          <w:sz w:val="20"/>
          <w:szCs w:val="20"/>
        </w:rPr>
        <w:t>,</w:t>
      </w:r>
      <w:r w:rsidR="00EC5D81">
        <w:rPr>
          <w:rFonts w:ascii="Times New Roman" w:hAnsi="Times New Roman" w:cs="Times New Roman"/>
          <w:sz w:val="20"/>
          <w:szCs w:val="20"/>
        </w:rPr>
        <w:tab/>
      </w:r>
      <w:r w:rsidR="00963006">
        <w:rPr>
          <w:rFonts w:ascii="Times New Roman" w:hAnsi="Times New Roman" w:cs="Times New Roman"/>
          <w:sz w:val="20"/>
          <w:szCs w:val="20"/>
        </w:rPr>
        <w:t>MediaTek Inc</w:t>
      </w:r>
    </w:p>
    <w:p w:rsidR="008631DC" w:rsidRPr="002361C7" w:rsidRDefault="008631DC" w:rsidP="00B15332">
      <w:pPr>
        <w:rPr>
          <w:rFonts w:ascii="Times New Roman" w:hAnsi="Times New Roman" w:cs="Times New Roman"/>
          <w:sz w:val="20"/>
          <w:szCs w:val="20"/>
        </w:rPr>
      </w:pPr>
    </w:p>
    <w:sectPr w:rsidR="008631DC" w:rsidRPr="002361C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7EC" w:rsidRDefault="009327EC" w:rsidP="0054389C">
      <w:r>
        <w:separator/>
      </w:r>
    </w:p>
  </w:endnote>
  <w:endnote w:type="continuationSeparator" w:id="0">
    <w:p w:rsidR="009327EC" w:rsidRDefault="009327EC"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7EC" w:rsidRDefault="009327EC" w:rsidP="0054389C">
      <w:r>
        <w:separator/>
      </w:r>
    </w:p>
  </w:footnote>
  <w:footnote w:type="continuationSeparator" w:id="0">
    <w:p w:rsidR="009327EC" w:rsidRDefault="009327EC"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8"/>
  </w:num>
  <w:num w:numId="3">
    <w:abstractNumId w:val="7"/>
  </w:num>
  <w:num w:numId="4">
    <w:abstractNumId w:val="6"/>
  </w:num>
  <w:num w:numId="5">
    <w:abstractNumId w:val="21"/>
  </w:num>
  <w:num w:numId="6">
    <w:abstractNumId w:val="25"/>
  </w:num>
  <w:num w:numId="7">
    <w:abstractNumId w:val="3"/>
  </w:num>
  <w:num w:numId="8">
    <w:abstractNumId w:val="11"/>
  </w:num>
  <w:num w:numId="9">
    <w:abstractNumId w:val="13"/>
  </w:num>
  <w:num w:numId="10">
    <w:abstractNumId w:val="8"/>
  </w:num>
  <w:num w:numId="11">
    <w:abstractNumId w:val="27"/>
  </w:num>
  <w:num w:numId="12">
    <w:abstractNumId w:val="20"/>
  </w:num>
  <w:num w:numId="13">
    <w:abstractNumId w:val="18"/>
  </w:num>
  <w:num w:numId="14">
    <w:abstractNumId w:val="34"/>
  </w:num>
  <w:num w:numId="15">
    <w:abstractNumId w:val="12"/>
  </w:num>
  <w:num w:numId="16">
    <w:abstractNumId w:val="33"/>
  </w:num>
  <w:num w:numId="17">
    <w:abstractNumId w:val="5"/>
  </w:num>
  <w:num w:numId="18">
    <w:abstractNumId w:val="23"/>
  </w:num>
  <w:num w:numId="19">
    <w:abstractNumId w:val="31"/>
  </w:num>
  <w:num w:numId="20">
    <w:abstractNumId w:val="17"/>
  </w:num>
  <w:num w:numId="21">
    <w:abstractNumId w:val="1"/>
  </w:num>
  <w:num w:numId="22">
    <w:abstractNumId w:val="15"/>
  </w:num>
  <w:num w:numId="23">
    <w:abstractNumId w:val="32"/>
  </w:num>
  <w:num w:numId="24">
    <w:abstractNumId w:val="24"/>
  </w:num>
  <w:num w:numId="25">
    <w:abstractNumId w:val="26"/>
  </w:num>
  <w:num w:numId="26">
    <w:abstractNumId w:val="38"/>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6"/>
  </w:num>
  <w:num w:numId="34">
    <w:abstractNumId w:val="22"/>
  </w:num>
  <w:num w:numId="35">
    <w:abstractNumId w:val="30"/>
  </w:num>
  <w:num w:numId="36">
    <w:abstractNumId w:val="30"/>
  </w:num>
  <w:num w:numId="37">
    <w:abstractNumId w:val="30"/>
  </w:num>
  <w:num w:numId="38">
    <w:abstractNumId w:val="19"/>
  </w:num>
  <w:num w:numId="39">
    <w:abstractNumId w:val="35"/>
  </w:num>
  <w:num w:numId="40">
    <w:abstractNumId w:val="29"/>
  </w:num>
  <w:num w:numId="41">
    <w:abstractNumId w:val="16"/>
  </w:num>
  <w:num w:numId="42">
    <w:abstractNumId w:val="37"/>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2705A"/>
    <w:rsid w:val="00034A97"/>
    <w:rsid w:val="00041699"/>
    <w:rsid w:val="00051822"/>
    <w:rsid w:val="000645C7"/>
    <w:rsid w:val="00070463"/>
    <w:rsid w:val="000716C6"/>
    <w:rsid w:val="00072D64"/>
    <w:rsid w:val="000823B4"/>
    <w:rsid w:val="000B3B28"/>
    <w:rsid w:val="000C69EA"/>
    <w:rsid w:val="000D163E"/>
    <w:rsid w:val="000D352F"/>
    <w:rsid w:val="000D5572"/>
    <w:rsid w:val="000F428C"/>
    <w:rsid w:val="000F6FE6"/>
    <w:rsid w:val="00101ACC"/>
    <w:rsid w:val="00123587"/>
    <w:rsid w:val="0012493E"/>
    <w:rsid w:val="001260EF"/>
    <w:rsid w:val="00127301"/>
    <w:rsid w:val="001452D7"/>
    <w:rsid w:val="001478E9"/>
    <w:rsid w:val="0015540D"/>
    <w:rsid w:val="0016362E"/>
    <w:rsid w:val="001644B9"/>
    <w:rsid w:val="0016695D"/>
    <w:rsid w:val="00167860"/>
    <w:rsid w:val="001754BF"/>
    <w:rsid w:val="0017577F"/>
    <w:rsid w:val="001800C7"/>
    <w:rsid w:val="0018503A"/>
    <w:rsid w:val="00185C2B"/>
    <w:rsid w:val="00187ADE"/>
    <w:rsid w:val="001950FB"/>
    <w:rsid w:val="00195347"/>
    <w:rsid w:val="001A0C83"/>
    <w:rsid w:val="001A1790"/>
    <w:rsid w:val="001B142A"/>
    <w:rsid w:val="001B6E2C"/>
    <w:rsid w:val="001C641D"/>
    <w:rsid w:val="001C6C9A"/>
    <w:rsid w:val="001D03D9"/>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361C7"/>
    <w:rsid w:val="00242135"/>
    <w:rsid w:val="00243B02"/>
    <w:rsid w:val="00245A4E"/>
    <w:rsid w:val="00246ADE"/>
    <w:rsid w:val="002647F2"/>
    <w:rsid w:val="00265CD5"/>
    <w:rsid w:val="00276796"/>
    <w:rsid w:val="00280D74"/>
    <w:rsid w:val="00281A5A"/>
    <w:rsid w:val="00290653"/>
    <w:rsid w:val="00294705"/>
    <w:rsid w:val="002B6210"/>
    <w:rsid w:val="002B652F"/>
    <w:rsid w:val="002B7E31"/>
    <w:rsid w:val="002D018A"/>
    <w:rsid w:val="002E3574"/>
    <w:rsid w:val="002E64BA"/>
    <w:rsid w:val="002F0CE5"/>
    <w:rsid w:val="002F6F34"/>
    <w:rsid w:val="003009F3"/>
    <w:rsid w:val="00305381"/>
    <w:rsid w:val="0031381D"/>
    <w:rsid w:val="00324A56"/>
    <w:rsid w:val="00324CCC"/>
    <w:rsid w:val="0032715E"/>
    <w:rsid w:val="00330185"/>
    <w:rsid w:val="003329CE"/>
    <w:rsid w:val="00332A59"/>
    <w:rsid w:val="00335825"/>
    <w:rsid w:val="0035479D"/>
    <w:rsid w:val="00363A14"/>
    <w:rsid w:val="003700E4"/>
    <w:rsid w:val="003702DA"/>
    <w:rsid w:val="00383963"/>
    <w:rsid w:val="0038659C"/>
    <w:rsid w:val="003A4170"/>
    <w:rsid w:val="003A4595"/>
    <w:rsid w:val="003A4A9D"/>
    <w:rsid w:val="003B6133"/>
    <w:rsid w:val="003B78F5"/>
    <w:rsid w:val="003D3206"/>
    <w:rsid w:val="003D3A49"/>
    <w:rsid w:val="003E1EB2"/>
    <w:rsid w:val="003E6CF6"/>
    <w:rsid w:val="003F6FCE"/>
    <w:rsid w:val="00413D34"/>
    <w:rsid w:val="0041525E"/>
    <w:rsid w:val="00416279"/>
    <w:rsid w:val="004230BF"/>
    <w:rsid w:val="00431676"/>
    <w:rsid w:val="0044195C"/>
    <w:rsid w:val="00460AAF"/>
    <w:rsid w:val="0046466C"/>
    <w:rsid w:val="00467C66"/>
    <w:rsid w:val="004718D4"/>
    <w:rsid w:val="00471AA1"/>
    <w:rsid w:val="00480411"/>
    <w:rsid w:val="00485068"/>
    <w:rsid w:val="0048645C"/>
    <w:rsid w:val="0049439B"/>
    <w:rsid w:val="004A2AFD"/>
    <w:rsid w:val="004A351E"/>
    <w:rsid w:val="004A3F2B"/>
    <w:rsid w:val="004A583B"/>
    <w:rsid w:val="004B451B"/>
    <w:rsid w:val="004C222C"/>
    <w:rsid w:val="004D00B7"/>
    <w:rsid w:val="004D26E8"/>
    <w:rsid w:val="004D4C80"/>
    <w:rsid w:val="004D6569"/>
    <w:rsid w:val="004E0C32"/>
    <w:rsid w:val="004E2808"/>
    <w:rsid w:val="004E2E67"/>
    <w:rsid w:val="004E306E"/>
    <w:rsid w:val="004E48DA"/>
    <w:rsid w:val="004F4A70"/>
    <w:rsid w:val="00505332"/>
    <w:rsid w:val="005218FD"/>
    <w:rsid w:val="005248BF"/>
    <w:rsid w:val="00543855"/>
    <w:rsid w:val="0054389C"/>
    <w:rsid w:val="00545812"/>
    <w:rsid w:val="00555C21"/>
    <w:rsid w:val="00562DFE"/>
    <w:rsid w:val="00563C8B"/>
    <w:rsid w:val="005667A5"/>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D3087"/>
    <w:rsid w:val="005E3EE4"/>
    <w:rsid w:val="005F53F5"/>
    <w:rsid w:val="005F5B24"/>
    <w:rsid w:val="005F6DF7"/>
    <w:rsid w:val="006068C7"/>
    <w:rsid w:val="00611B19"/>
    <w:rsid w:val="006142E8"/>
    <w:rsid w:val="00615A48"/>
    <w:rsid w:val="006165ED"/>
    <w:rsid w:val="006214B2"/>
    <w:rsid w:val="006241B7"/>
    <w:rsid w:val="00630344"/>
    <w:rsid w:val="0063093D"/>
    <w:rsid w:val="006367AB"/>
    <w:rsid w:val="006368BE"/>
    <w:rsid w:val="0064419F"/>
    <w:rsid w:val="00652D79"/>
    <w:rsid w:val="006546C9"/>
    <w:rsid w:val="006602E7"/>
    <w:rsid w:val="0066419E"/>
    <w:rsid w:val="006803DB"/>
    <w:rsid w:val="00680FF7"/>
    <w:rsid w:val="00685EFE"/>
    <w:rsid w:val="00687E6B"/>
    <w:rsid w:val="006A69F0"/>
    <w:rsid w:val="006B0FDC"/>
    <w:rsid w:val="006C49CF"/>
    <w:rsid w:val="006C713C"/>
    <w:rsid w:val="006D7986"/>
    <w:rsid w:val="006E04B2"/>
    <w:rsid w:val="006E6641"/>
    <w:rsid w:val="006F4393"/>
    <w:rsid w:val="007000C2"/>
    <w:rsid w:val="007039C2"/>
    <w:rsid w:val="00704E0D"/>
    <w:rsid w:val="007070F1"/>
    <w:rsid w:val="0071718E"/>
    <w:rsid w:val="00717E1B"/>
    <w:rsid w:val="007213C7"/>
    <w:rsid w:val="00723874"/>
    <w:rsid w:val="00731CC2"/>
    <w:rsid w:val="007422A0"/>
    <w:rsid w:val="00745132"/>
    <w:rsid w:val="00752807"/>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F5703"/>
    <w:rsid w:val="0080081A"/>
    <w:rsid w:val="0080162C"/>
    <w:rsid w:val="00803D9E"/>
    <w:rsid w:val="0082167B"/>
    <w:rsid w:val="00824894"/>
    <w:rsid w:val="00836272"/>
    <w:rsid w:val="00841157"/>
    <w:rsid w:val="00841D35"/>
    <w:rsid w:val="008630DE"/>
    <w:rsid w:val="008631DC"/>
    <w:rsid w:val="00873E40"/>
    <w:rsid w:val="008827F1"/>
    <w:rsid w:val="00883B49"/>
    <w:rsid w:val="00892911"/>
    <w:rsid w:val="0089303E"/>
    <w:rsid w:val="00893262"/>
    <w:rsid w:val="00896E69"/>
    <w:rsid w:val="008A0C13"/>
    <w:rsid w:val="008A347A"/>
    <w:rsid w:val="008A6635"/>
    <w:rsid w:val="008A7CA1"/>
    <w:rsid w:val="008C3B63"/>
    <w:rsid w:val="008D005F"/>
    <w:rsid w:val="008D26B8"/>
    <w:rsid w:val="008D6E7B"/>
    <w:rsid w:val="008F3AB1"/>
    <w:rsid w:val="0090090C"/>
    <w:rsid w:val="009009A0"/>
    <w:rsid w:val="00914480"/>
    <w:rsid w:val="00923785"/>
    <w:rsid w:val="00927EDF"/>
    <w:rsid w:val="00927F9D"/>
    <w:rsid w:val="009327EC"/>
    <w:rsid w:val="00942EEE"/>
    <w:rsid w:val="009509D5"/>
    <w:rsid w:val="00951C40"/>
    <w:rsid w:val="00963006"/>
    <w:rsid w:val="00963620"/>
    <w:rsid w:val="00964B17"/>
    <w:rsid w:val="009650A8"/>
    <w:rsid w:val="009847E0"/>
    <w:rsid w:val="009852F7"/>
    <w:rsid w:val="00997C51"/>
    <w:rsid w:val="009A39AF"/>
    <w:rsid w:val="009A4F19"/>
    <w:rsid w:val="009A5201"/>
    <w:rsid w:val="009A7035"/>
    <w:rsid w:val="009B205D"/>
    <w:rsid w:val="009C4366"/>
    <w:rsid w:val="009E04F6"/>
    <w:rsid w:val="009F5E69"/>
    <w:rsid w:val="009F680C"/>
    <w:rsid w:val="00A064D7"/>
    <w:rsid w:val="00A11EC7"/>
    <w:rsid w:val="00A16533"/>
    <w:rsid w:val="00A2027E"/>
    <w:rsid w:val="00A22990"/>
    <w:rsid w:val="00A276D7"/>
    <w:rsid w:val="00A33A69"/>
    <w:rsid w:val="00A3606C"/>
    <w:rsid w:val="00A44F96"/>
    <w:rsid w:val="00A56AA6"/>
    <w:rsid w:val="00A56E6D"/>
    <w:rsid w:val="00A63B54"/>
    <w:rsid w:val="00A65F12"/>
    <w:rsid w:val="00A72117"/>
    <w:rsid w:val="00A80D5B"/>
    <w:rsid w:val="00A855D3"/>
    <w:rsid w:val="00A91AED"/>
    <w:rsid w:val="00A938DB"/>
    <w:rsid w:val="00A968A5"/>
    <w:rsid w:val="00AA4AB5"/>
    <w:rsid w:val="00AB1543"/>
    <w:rsid w:val="00AB52AA"/>
    <w:rsid w:val="00AC175E"/>
    <w:rsid w:val="00AC18ED"/>
    <w:rsid w:val="00AC19BA"/>
    <w:rsid w:val="00AC68BC"/>
    <w:rsid w:val="00AF3D27"/>
    <w:rsid w:val="00AF6FB1"/>
    <w:rsid w:val="00B03C1E"/>
    <w:rsid w:val="00B148C0"/>
    <w:rsid w:val="00B15332"/>
    <w:rsid w:val="00B22C85"/>
    <w:rsid w:val="00B236AD"/>
    <w:rsid w:val="00B24E9C"/>
    <w:rsid w:val="00B25431"/>
    <w:rsid w:val="00B27573"/>
    <w:rsid w:val="00B37C0A"/>
    <w:rsid w:val="00B4430F"/>
    <w:rsid w:val="00B4742F"/>
    <w:rsid w:val="00B51E36"/>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D4D65"/>
    <w:rsid w:val="00BE1A90"/>
    <w:rsid w:val="00BE3F60"/>
    <w:rsid w:val="00BF3D60"/>
    <w:rsid w:val="00BF58DB"/>
    <w:rsid w:val="00C0113C"/>
    <w:rsid w:val="00C032FD"/>
    <w:rsid w:val="00C116C7"/>
    <w:rsid w:val="00C13829"/>
    <w:rsid w:val="00C13FAF"/>
    <w:rsid w:val="00C21AD5"/>
    <w:rsid w:val="00C21ECC"/>
    <w:rsid w:val="00C26A62"/>
    <w:rsid w:val="00C3220A"/>
    <w:rsid w:val="00C36D3A"/>
    <w:rsid w:val="00C37595"/>
    <w:rsid w:val="00C43AAE"/>
    <w:rsid w:val="00C4446F"/>
    <w:rsid w:val="00C517ED"/>
    <w:rsid w:val="00C5470E"/>
    <w:rsid w:val="00C60F32"/>
    <w:rsid w:val="00C77557"/>
    <w:rsid w:val="00C818FA"/>
    <w:rsid w:val="00CA279C"/>
    <w:rsid w:val="00CC4F79"/>
    <w:rsid w:val="00CD1D0C"/>
    <w:rsid w:val="00CD4A10"/>
    <w:rsid w:val="00CE11B3"/>
    <w:rsid w:val="00CE2C39"/>
    <w:rsid w:val="00CE3D40"/>
    <w:rsid w:val="00CE5C0D"/>
    <w:rsid w:val="00CE747B"/>
    <w:rsid w:val="00CF0440"/>
    <w:rsid w:val="00CF2402"/>
    <w:rsid w:val="00CF6CE4"/>
    <w:rsid w:val="00D05181"/>
    <w:rsid w:val="00D11874"/>
    <w:rsid w:val="00D222EE"/>
    <w:rsid w:val="00D2357D"/>
    <w:rsid w:val="00D4283A"/>
    <w:rsid w:val="00D4585C"/>
    <w:rsid w:val="00D478B9"/>
    <w:rsid w:val="00D522CA"/>
    <w:rsid w:val="00D52CF3"/>
    <w:rsid w:val="00D5302D"/>
    <w:rsid w:val="00D54011"/>
    <w:rsid w:val="00D554C9"/>
    <w:rsid w:val="00D64D77"/>
    <w:rsid w:val="00D652BD"/>
    <w:rsid w:val="00D72D48"/>
    <w:rsid w:val="00D77DD1"/>
    <w:rsid w:val="00D80C09"/>
    <w:rsid w:val="00D81433"/>
    <w:rsid w:val="00D82DEC"/>
    <w:rsid w:val="00D851E7"/>
    <w:rsid w:val="00D92E42"/>
    <w:rsid w:val="00D9347C"/>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7100"/>
    <w:rsid w:val="00E22AFE"/>
    <w:rsid w:val="00E22C6D"/>
    <w:rsid w:val="00E31770"/>
    <w:rsid w:val="00E34795"/>
    <w:rsid w:val="00E34DC9"/>
    <w:rsid w:val="00E44384"/>
    <w:rsid w:val="00E55094"/>
    <w:rsid w:val="00E60F11"/>
    <w:rsid w:val="00E70C68"/>
    <w:rsid w:val="00E70D3F"/>
    <w:rsid w:val="00E74179"/>
    <w:rsid w:val="00E80307"/>
    <w:rsid w:val="00E83CB4"/>
    <w:rsid w:val="00E84287"/>
    <w:rsid w:val="00E84ABF"/>
    <w:rsid w:val="00E87B0B"/>
    <w:rsid w:val="00E92811"/>
    <w:rsid w:val="00E95DD2"/>
    <w:rsid w:val="00E96E83"/>
    <w:rsid w:val="00EA3D78"/>
    <w:rsid w:val="00EA75A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4C38"/>
    <w:rsid w:val="00F553CF"/>
    <w:rsid w:val="00F6033B"/>
    <w:rsid w:val="00F81DBD"/>
    <w:rsid w:val="00F831FE"/>
    <w:rsid w:val="00F855B9"/>
    <w:rsid w:val="00FA634C"/>
    <w:rsid w:val="00FA7503"/>
    <w:rsid w:val="00FB2E57"/>
    <w:rsid w:val="00FC2171"/>
    <w:rsid w:val="00FD00E4"/>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849F"/>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78873-8271-4B1F-A7FE-6B2DA592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11121</TotalTime>
  <Pages>5</Pages>
  <Words>1373</Words>
  <Characters>7828</Characters>
  <Application>Microsoft Office Word</Application>
  <DocSecurity>0</DocSecurity>
  <Lines>65</Lines>
  <Paragraphs>18</Paragraphs>
  <ScaleCrop>false</ScaleCrop>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157</cp:revision>
  <dcterms:created xsi:type="dcterms:W3CDTF">2021-01-14T12:11:00Z</dcterms:created>
  <dcterms:modified xsi:type="dcterms:W3CDTF">2023-02-17T13:08:00Z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